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130EA8" w:rsidRPr="00094AB1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PROGRAM PRO POSKYTOVÁNÍ DOTACÍ V SOCIÁLNÍ OBLASTI</w:t>
      </w:r>
    </w:p>
    <w:p w:rsidR="00130EA8" w:rsidRDefault="00130EA8" w:rsidP="00130EA8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2016</w:t>
      </w:r>
    </w:p>
    <w:p w:rsidR="00130EA8" w:rsidRPr="00CE50E6" w:rsidRDefault="00CC6A92" w:rsidP="00CE50E6">
      <w:pPr>
        <w:shd w:val="clear" w:color="auto" w:fill="FFFFCC"/>
        <w:spacing w:before="0" w:line="276" w:lineRule="auto"/>
        <w:ind w:left="360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Vzor žádosti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C3BE7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0C3BE7">
        <w:lastRenderedPageBreak/>
        <w:t>VZOR ŽÁDOSTI O DOTACI PRO SKUPINU A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dotaci z rozpočtu města Velké Meziříčí - oblast sociální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/2015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Osoba oprávněná jednat jménem právnické osoby</w:t>
            </w:r>
            <w:r w:rsidRPr="004729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414C"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 uvedením právního důvodu zastoupení</w:t>
            </w:r>
          </w:p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472971" w:rsidRDefault="00E244E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E244EC" w:rsidRPr="00472971" w:rsidRDefault="001842C8" w:rsidP="001842C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1) 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 s podílem v této právnické osobě</w:t>
            </w:r>
          </w:p>
          <w:p w:rsidR="001842C8" w:rsidRPr="00472971" w:rsidRDefault="001842C8" w:rsidP="001842C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164A0A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highlight w:val="yellow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C56962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D414C" w:rsidRPr="005D414C" w:rsidRDefault="00130EA8" w:rsidP="005D414C">
            <w:pPr>
              <w:jc w:val="left"/>
              <w:rPr>
                <w:rFonts w:eastAsia="Times New Roman" w:cs="Arial"/>
                <w:b/>
                <w:bCs/>
                <w:color w:val="FF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 w:rsidR="005D414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, </w:t>
            </w:r>
            <w:r w:rsidR="005D414C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 v níž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130EA8" w:rsidRPr="009106FB" w:rsidRDefault="00130EA8" w:rsidP="00130EA8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lastRenderedPageBreak/>
              <w:t>● nedluží finanční prostředky městu nebo jím zřízeným organizacím a založeným společnostem, dále pak orgánům státní správy, územním samosprávným celkům, zdravotní pojišťovně a orgánům sociálního zabezpečení,</w:t>
            </w:r>
            <w:r w:rsidR="00BE74DF"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prohlášen konkurz</w:t>
            </w:r>
            <w:r w:rsidR="00FC2B45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se seznámil s Programem pro poskytování dotací v sociální oblasti z rozpočtu města Velké Meziříčí,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bude bez prodlení písemně informovat odbor sociálních věcí a zdravotnictví Městského úřadu 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2349B" w:rsidRDefault="005D414C" w:rsidP="00130EA8">
            <w:pPr>
              <w:jc w:val="left"/>
              <w:rPr>
                <w:rFonts w:eastAsia="Times New Roman" w:cs="Arial"/>
                <w:bCs/>
                <w:color w:val="FF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Pr="00BE0AF9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418"/>
        <w:gridCol w:w="565"/>
        <w:gridCol w:w="569"/>
        <w:gridCol w:w="709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/2015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sociální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podle zákona 108/2006 Sb.)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Forma poskytování služby 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(terénní, ambulantní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pobytová)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Specifika sociální služby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Provozní doba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(počet hodin za rok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2014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 služby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– obce v rámci ORP, ve kterých má služba, alespoň jednoho klienta – aktuální stav).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hodin strávených na cestě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 služby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– počet hodin za rok 2014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)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5D414C" w:rsidRPr="009106FB" w:rsidRDefault="005D414C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Meziříčí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(aktuální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lastRenderedPageBreak/>
              <w:t>stav)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5D414C" w:rsidRPr="009106FB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Počet uživatelů z ORP Velké Meziříčí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(aktuální stav)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(aktuální stav)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Zdroje financování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2014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Obce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Kraj Vysočina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z toho odbor sociálních věcí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MPSV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Strukturální fondy EU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Příjmy od klientů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Fondy zdravotních pojišťoven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Příspěvek 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z </w:t>
            </w:r>
            <w:r w:rsidR="006B6641"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inisterstva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zdravotnictví a z RVKPP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Další zdroje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(nadace, sponzorské dary, sbírky, členské příspěvky apod.)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z toho Úřad práce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Nákladová a personální oblast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2014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sociální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nepřímou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Provozní náklady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Náklady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sociální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nepřímá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Výkonnost služby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 (v roce 2014)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Ukazatel výkonnosti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Ukazatel výkonnosti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51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Ukazatel výkonnosti sociální služby se diferencuje podle druhu služby. Podrobně jsou ukazatele výkonnosti sociální služby uvedeny v Metodice poskytování dotací z rozpočtu města Velkého Meziříčí v sociální oblasti.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Provázanost a spolupráce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lastRenderedPageBreak/>
              <w:t>Zapojení do procesu komunitního plánování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ORP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(pracovní skupina)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áměr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 roce 2016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(pouze zásadní)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Spolupráce 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jinými 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poskytovateli sociálních služeb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e městě a 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regi</w:t>
            </w:r>
            <w:r w:rsidR="006B6641"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nu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(výčtem).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bookmarkStart w:id="0" w:name="_GoBack"/>
            <w:bookmarkEnd w:id="0"/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Spolupráce v rámci návazných oblastí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(školství, zdravotnictví, trh práce aj.)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/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C235F4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C235F4">
        <w:lastRenderedPageBreak/>
        <w:t>VZOR ŽÁDOSTI O DOTACI PRO SKUPIN</w:t>
      </w:r>
      <w:r>
        <w:t xml:space="preserve">Y B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Žádost o dotaci z rozpočtu města Velké Meziříčí - oblast sociální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/2015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062A3F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14C" w:rsidRPr="00F2349B" w:rsidRDefault="005D414C" w:rsidP="005D414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Osoba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oprávněná jednat jménem právnické osoby</w:t>
            </w:r>
            <w:r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s uvedením právního důvodu zastoupení</w:t>
            </w:r>
          </w:p>
          <w:p w:rsidR="00130EA8" w:rsidRPr="009F1758" w:rsidRDefault="005D414C" w:rsidP="005D414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0EA8"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062A3F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1) osob s podílem v této právnické osobě</w:t>
            </w:r>
          </w:p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062A3F"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0EA8" w:rsidRPr="009106FB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,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 v níž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5D414C" w:rsidRDefault="005D414C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lastRenderedPageBreak/>
              <w:t xml:space="preserve">● nedluží finanční prostředky městu nebo jím zřízeným organizacím a založeným společnostem, dále pak orgánům státní </w:t>
            </w:r>
            <w:r w:rsidRPr="009F1758">
              <w:rPr>
                <w:rFonts w:eastAsia="Times New Roman" w:cs="Arial"/>
                <w:color w:val="000000"/>
                <w:sz w:val="22"/>
                <w:lang w:eastAsia="cs-CZ"/>
              </w:rPr>
              <w:t>správy, územním samosprávným celkům, zdravotní pojišťovně a orgánům sociálního zabezpečení,</w:t>
            </w:r>
            <w:r w:rsidR="00062A3F" w:rsidRPr="009F1758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vyhlášen konkurz</w:t>
            </w:r>
            <w:r w:rsidR="0067071A" w:rsidRPr="009F1758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se seznámil se Programem pro poskytování dotací v sociální oblasti 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>pro rok 2016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odbor sociálních věcí a  </w:t>
            </w:r>
            <w:r w:rsidR="00994A80" w:rsidRPr="00F2349B">
              <w:rPr>
                <w:rFonts w:eastAsia="Times New Roman" w:cs="Arial"/>
                <w:color w:val="000000"/>
                <w:sz w:val="22"/>
                <w:lang w:eastAsia="cs-CZ"/>
              </w:rPr>
              <w:t>zdrav</w:t>
            </w:r>
            <w:r w:rsidRPr="00F2349B">
              <w:rPr>
                <w:rFonts w:eastAsia="Times New Roman" w:cs="Arial"/>
                <w:color w:val="000000"/>
                <w:sz w:val="22"/>
                <w:lang w:eastAsia="cs-CZ"/>
              </w:rPr>
              <w:t>otnictví Městského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úřadu 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F2349B" w:rsidRDefault="005D414C" w:rsidP="003A156E">
            <w:pPr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F2349B" w:rsidRDefault="005D414C" w:rsidP="003A156E">
            <w:pPr>
              <w:rPr>
                <w:rFonts w:eastAsia="Times New Roman" w:cs="Arial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3A156E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3A156E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5D414C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D414C" w:rsidRPr="00F2349B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90639" w:rsidRDefault="005D414C" w:rsidP="00130EA8">
            <w:pPr>
              <w:jc w:val="left"/>
              <w:rPr>
                <w:rFonts w:eastAsia="Times New Roman" w:cs="Arial"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4C" w:rsidRPr="009106FB" w:rsidRDefault="005D414C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Pr="00BE0AF9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983"/>
        <w:gridCol w:w="1278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/2015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Specifika aktivity či sociální služby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osob, které budou podpořeny ze získaných finančních prostředků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  <w:p w:rsidR="00E65215" w:rsidRPr="009106FB" w:rsidRDefault="00E65215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Meziříčí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(aktuální stav)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ORP Velké Meziříčí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(aktuální stav)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(aktuální stav)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</w:tbl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BE0AF9">
        <w:lastRenderedPageBreak/>
        <w:t xml:space="preserve">POJMOSLOVÍ K VYPLNĚNÍ </w:t>
      </w:r>
      <w:r w:rsidR="00241BAB">
        <w:t>ŽÁDOSTÍ</w:t>
      </w:r>
    </w:p>
    <w:p w:rsidR="00130EA8" w:rsidRPr="00A84FA4" w:rsidRDefault="00130EA8" w:rsidP="00130EA8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229"/>
      </w:tblGrid>
      <w:tr w:rsidR="00130EA8" w:rsidRPr="00A84FA4" w:rsidTr="00130EA8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" w:name="_Ref361833196"/>
          </w:p>
        </w:tc>
        <w:bookmarkEnd w:id="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130EA8" w:rsidRPr="00A84FA4" w:rsidTr="00130EA8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2" w:name="_Ref361824575"/>
          </w:p>
        </w:tc>
        <w:bookmarkEnd w:id="2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130EA8" w:rsidRPr="00A84FA4" w:rsidTr="00130EA8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24580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130EA8" w:rsidRPr="00A84FA4" w:rsidTr="00130EA8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6686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130EA8" w:rsidRPr="00A84FA4" w:rsidTr="00130EA8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Hodiny strávené na cestě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Pomocný ukazatel u terénních služeb zohledňující dobu strávenou na cestě při přejezdech ke klientům. Eviduje se dle podmínek nastavených v pracovně-právních vztazích – rozhodující je místo výkonu práce, cesta na pracoviště se nezapočítává. Např. pokud je začátek výkonu práce v bydlišti prvního klienta, cesta k tomuto klientovi se nezapočítává, až přejezd k druhému a dalším klientům. Ale pokud je začátek výkonu práce v zařízení služby, pak se započítává i cesta k prvnímu klientovi.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191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33121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33139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V případě DPP se započítávají celkové odměny pro všechny zaměstnance v 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režimu DPP za kalendářní rok, včetně případného zákonného pojistného dle platných předpisů.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35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Výpočet:</w:t>
            </w:r>
          </w:p>
          <w:p w:rsidR="00130EA8" w:rsidRPr="00A84FA4" w:rsidRDefault="00130EA8" w:rsidP="00130EA8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130EA8" w:rsidRPr="00A84FA4" w:rsidTr="00130EA8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Provozní doba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Počet hodin za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rok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, kdy je služba otevřená/dostupná uživatelům a kdy je přítomen pracovník přímé péče. Nezapočítává se doba dojezdu a odjezdu uživatelů do/ze zařízení ani cesta pracovníka za/od uživatele.</w:t>
            </w:r>
          </w:p>
        </w:tc>
      </w:tr>
      <w:tr w:rsidR="00130EA8" w:rsidRPr="00A84FA4" w:rsidTr="00130EA8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24433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062A3F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návaznosti na poskytování konkrétní služby podle ceníku služeb. Do příjmů od klientů se </w:t>
            </w:r>
            <w:r w:rsidR="00062A3F" w:rsidRPr="009F1758">
              <w:rPr>
                <w:rFonts w:eastAsia="Times New Roman" w:cs="Arial"/>
                <w:sz w:val="20"/>
                <w:szCs w:val="20"/>
                <w:lang w:eastAsia="cs-CZ"/>
              </w:rPr>
              <w:t>započítávají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26698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6682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</w:tbl>
    <w:p w:rsidR="00130EA8" w:rsidRPr="00A84FA4" w:rsidRDefault="00130EA8" w:rsidP="00130EA8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130EA8" w:rsidRDefault="00130EA8" w:rsidP="00130EA8">
      <w:pPr>
        <w:rPr>
          <w:highlight w:val="yellow"/>
        </w:rPr>
      </w:pPr>
    </w:p>
    <w:p w:rsidR="0011648C" w:rsidRDefault="0011648C"/>
    <w:sectPr w:rsidR="0011648C" w:rsidSect="00130E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F9" w:rsidRDefault="007F1AF9" w:rsidP="00130EA8">
      <w:pPr>
        <w:spacing w:before="0"/>
      </w:pPr>
      <w:r>
        <w:separator/>
      </w:r>
    </w:p>
  </w:endnote>
  <w:endnote w:type="continuationSeparator" w:id="0">
    <w:p w:rsidR="007F1AF9" w:rsidRDefault="007F1AF9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130EA8" w:rsidRDefault="00130EA8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9B">
          <w:rPr>
            <w:noProof/>
          </w:rPr>
          <w:t>6</w:t>
        </w:r>
        <w:r>
          <w:fldChar w:fldCharType="end"/>
        </w:r>
      </w:p>
    </w:sdtContent>
  </w:sdt>
  <w:p w:rsidR="00130EA8" w:rsidRDefault="00130E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F9" w:rsidRDefault="007F1AF9" w:rsidP="00130EA8">
      <w:pPr>
        <w:spacing w:before="0"/>
      </w:pPr>
      <w:r>
        <w:separator/>
      </w:r>
    </w:p>
  </w:footnote>
  <w:footnote w:type="continuationSeparator" w:id="0">
    <w:p w:rsidR="007F1AF9" w:rsidRDefault="007F1AF9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EA8" w:rsidRPr="00130EA8" w:rsidRDefault="00130EA8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0B13354E" wp14:editId="7AF0A542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2A1">
      <w:rPr>
        <w:noProof/>
        <w:sz w:val="22"/>
        <w:szCs w:val="18"/>
        <w:lang w:eastAsia="cs-CZ"/>
      </w:rPr>
      <w:t xml:space="preserve">Program pro poskytování dotací v sociální </w:t>
    </w:r>
    <w:r>
      <w:rPr>
        <w:noProof/>
        <w:sz w:val="22"/>
        <w:szCs w:val="18"/>
        <w:lang w:eastAsia="cs-CZ"/>
      </w:rPr>
      <w:t>oblasti pro rok 2016 – příloha.</w:t>
    </w:r>
  </w:p>
  <w:p w:rsidR="00130EA8" w:rsidRDefault="00130EA8" w:rsidP="00130EA8">
    <w:pPr>
      <w:pStyle w:val="Zhlav"/>
      <w:ind w:left="851"/>
      <w:rPr>
        <w:noProof/>
        <w:lang w:eastAsia="cs-CZ"/>
      </w:rPr>
    </w:pPr>
  </w:p>
  <w:p w:rsidR="00130EA8" w:rsidRDefault="00130EA8" w:rsidP="00130EA8">
    <w:pPr>
      <w:pStyle w:val="Zhlav"/>
      <w:pBdr>
        <w:bottom w:val="single" w:sz="6" w:space="1" w:color="auto"/>
      </w:pBdr>
      <w:rPr>
        <w:b/>
        <w:sz w:val="18"/>
      </w:rPr>
    </w:pPr>
  </w:p>
  <w:p w:rsidR="00130EA8" w:rsidRDefault="00130EA8">
    <w:pPr>
      <w:pStyle w:val="Zhlav"/>
    </w:pPr>
  </w:p>
  <w:p w:rsidR="00130EA8" w:rsidRDefault="00130E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11648C"/>
    <w:rsid w:val="00130EA8"/>
    <w:rsid w:val="00152B2D"/>
    <w:rsid w:val="001842C8"/>
    <w:rsid w:val="00241BAB"/>
    <w:rsid w:val="0031733B"/>
    <w:rsid w:val="00336C99"/>
    <w:rsid w:val="00375AB3"/>
    <w:rsid w:val="00472971"/>
    <w:rsid w:val="0049625A"/>
    <w:rsid w:val="005D414C"/>
    <w:rsid w:val="00665115"/>
    <w:rsid w:val="0067071A"/>
    <w:rsid w:val="006B6641"/>
    <w:rsid w:val="007B7594"/>
    <w:rsid w:val="007F1AF9"/>
    <w:rsid w:val="00905B6B"/>
    <w:rsid w:val="009062E7"/>
    <w:rsid w:val="00994A80"/>
    <w:rsid w:val="009F1758"/>
    <w:rsid w:val="00A8329C"/>
    <w:rsid w:val="00AE2720"/>
    <w:rsid w:val="00B813E5"/>
    <w:rsid w:val="00BA41ED"/>
    <w:rsid w:val="00BE74DF"/>
    <w:rsid w:val="00C56962"/>
    <w:rsid w:val="00CC6A92"/>
    <w:rsid w:val="00CD38BC"/>
    <w:rsid w:val="00CE50E6"/>
    <w:rsid w:val="00CF0707"/>
    <w:rsid w:val="00DE2139"/>
    <w:rsid w:val="00E244EC"/>
    <w:rsid w:val="00E65215"/>
    <w:rsid w:val="00EA4BA2"/>
    <w:rsid w:val="00EE3C85"/>
    <w:rsid w:val="00F2349B"/>
    <w:rsid w:val="00F4559B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99AE-3CF4-4BF4-B24E-A841CAC3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1701</Words>
  <Characters>10264</Characters>
  <Application>Microsoft Office Word</Application>
  <DocSecurity>0</DocSecurity>
  <Lines>233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Klapalová Jaroslava Ing.</cp:lastModifiedBy>
  <cp:revision>2</cp:revision>
  <cp:lastPrinted>2015-08-07T09:10:00Z</cp:lastPrinted>
  <dcterms:created xsi:type="dcterms:W3CDTF">2015-08-07T09:11:00Z</dcterms:created>
  <dcterms:modified xsi:type="dcterms:W3CDTF">2015-08-07T09:11:00Z</dcterms:modified>
</cp:coreProperties>
</file>