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3.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C8D" w:rsidRDefault="00EE3646" w:rsidP="005D5C8D">
      <w:pPr>
        <w:shd w:val="clear" w:color="auto" w:fill="CCCCCC"/>
        <w:rPr>
          <w:rFonts w:cs="Arial"/>
        </w:rPr>
      </w:pPr>
      <w:bookmarkStart w:id="0" w:name="_GoBack"/>
      <w:bookmarkEnd w:id="0"/>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6pt;margin-top:-70.25pt;width:610.3pt;height:114.8pt;z-index:251658240;mso-wrap-distance-left:9.05pt;mso-wrap-distance-right:9.05pt" filled="t">
            <v:fill color2="black"/>
            <v:imagedata r:id="rId9" o:title=""/>
            <w10:wrap type="topAndBottom"/>
          </v:shape>
          <o:OLEObject Type="Embed" ProgID="Obrázek" ShapeID="_x0000_s1026" DrawAspect="Content" ObjectID="_1472467803" r:id="rId10"/>
        </w:pict>
      </w:r>
    </w:p>
    <w:p w:rsidR="005D5C8D" w:rsidRDefault="005D5C8D" w:rsidP="005D5C8D">
      <w:pPr>
        <w:shd w:val="clear" w:color="auto" w:fill="CCCCCC"/>
        <w:rPr>
          <w:rFonts w:cs="Arial"/>
        </w:rPr>
      </w:pPr>
    </w:p>
    <w:p w:rsidR="003B4A6A" w:rsidRDefault="003B4A6A"/>
    <w:p w:rsidR="005D5C8D" w:rsidRDefault="005D5C8D" w:rsidP="005D5C8D">
      <w:pPr>
        <w:jc w:val="center"/>
        <w:rPr>
          <w:b/>
          <w:color w:val="FF0000"/>
          <w:sz w:val="32"/>
        </w:rPr>
      </w:pPr>
      <w:r>
        <w:rPr>
          <w:b/>
          <w:color w:val="FF0000"/>
          <w:sz w:val="32"/>
        </w:rPr>
        <w:t>ZÁVĚREČNÁ ZPRÁVA</w:t>
      </w:r>
    </w:p>
    <w:p w:rsidR="005D5C8D" w:rsidRDefault="005D5C8D" w:rsidP="005D5C8D">
      <w:pPr>
        <w:jc w:val="center"/>
        <w:rPr>
          <w:b/>
          <w:color w:val="FF0000"/>
          <w:sz w:val="32"/>
        </w:rPr>
      </w:pPr>
    </w:p>
    <w:p w:rsidR="005D5C8D" w:rsidRPr="005D5C8D" w:rsidRDefault="00777801" w:rsidP="005D5C8D">
      <w:pPr>
        <w:jc w:val="center"/>
        <w:rPr>
          <w:b/>
          <w:color w:val="00B0F0"/>
          <w:sz w:val="32"/>
        </w:rPr>
      </w:pPr>
      <w:r>
        <w:rPr>
          <w:b/>
          <w:bCs/>
          <w:color w:val="00B0F0"/>
          <w:sz w:val="32"/>
        </w:rPr>
        <w:t xml:space="preserve">ANALÝZY </w:t>
      </w:r>
      <w:r w:rsidR="005C5EA3">
        <w:rPr>
          <w:b/>
          <w:bCs/>
          <w:color w:val="00B0F0"/>
          <w:sz w:val="32"/>
        </w:rPr>
        <w:t xml:space="preserve">V </w:t>
      </w:r>
      <w:r>
        <w:rPr>
          <w:b/>
          <w:bCs/>
          <w:color w:val="00B0F0"/>
          <w:sz w:val="32"/>
        </w:rPr>
        <w:t xml:space="preserve">SOCIÁLNÍ </w:t>
      </w:r>
      <w:r w:rsidR="005C5EA3">
        <w:rPr>
          <w:b/>
          <w:bCs/>
          <w:color w:val="00B0F0"/>
          <w:sz w:val="32"/>
        </w:rPr>
        <w:t>OBLASTI</w:t>
      </w:r>
      <w:r>
        <w:rPr>
          <w:b/>
          <w:bCs/>
          <w:color w:val="00B0F0"/>
          <w:sz w:val="32"/>
        </w:rPr>
        <w:t xml:space="preserve"> JAKO PODKLAD PRO </w:t>
      </w:r>
      <w:r w:rsidR="00D5450D">
        <w:rPr>
          <w:b/>
          <w:bCs/>
          <w:color w:val="00B0F0"/>
          <w:sz w:val="32"/>
        </w:rPr>
        <w:t>STŘEDNĚDOBÝ PLÁN ROZVOJE SOCIÁLNÍCH</w:t>
      </w:r>
      <w:r>
        <w:rPr>
          <w:b/>
          <w:bCs/>
          <w:color w:val="00B0F0"/>
          <w:sz w:val="32"/>
        </w:rPr>
        <w:t xml:space="preserve"> SLUŽEB VE MĚSTĚ VELKÉ MEZIŘÍČÍ</w:t>
      </w:r>
    </w:p>
    <w:p w:rsidR="005D5C8D" w:rsidRDefault="005D5C8D" w:rsidP="005D5C8D">
      <w:pPr>
        <w:jc w:val="center"/>
        <w:rPr>
          <w:b/>
          <w:color w:val="00B0F0"/>
          <w:sz w:val="32"/>
        </w:rPr>
      </w:pPr>
    </w:p>
    <w:p w:rsidR="005D5C8D" w:rsidRDefault="005D5C8D" w:rsidP="005D5C8D">
      <w:pPr>
        <w:shd w:val="clear" w:color="auto" w:fill="CCCCCC"/>
        <w:rPr>
          <w:rFonts w:cs="Arial"/>
        </w:rPr>
      </w:pPr>
    </w:p>
    <w:p w:rsidR="005D5C8D" w:rsidRDefault="005D5C8D" w:rsidP="005D5C8D">
      <w:pPr>
        <w:jc w:val="center"/>
        <w:rPr>
          <w:b/>
          <w:color w:val="00B0F0"/>
          <w:sz w:val="32"/>
        </w:rPr>
      </w:pPr>
    </w:p>
    <w:p w:rsidR="005D5C8D" w:rsidRDefault="005D5C8D" w:rsidP="005D5C8D">
      <w:pPr>
        <w:jc w:val="center"/>
        <w:rPr>
          <w:b/>
          <w:color w:val="00B0F0"/>
          <w:sz w:val="32"/>
        </w:rPr>
      </w:pPr>
    </w:p>
    <w:p w:rsidR="005D5C8D" w:rsidRDefault="005D5C8D" w:rsidP="005D5C8D">
      <w:pPr>
        <w:jc w:val="center"/>
        <w:rPr>
          <w:b/>
          <w:color w:val="00B0F0"/>
          <w:sz w:val="32"/>
        </w:rPr>
      </w:pPr>
    </w:p>
    <w:p w:rsidR="005D5C8D" w:rsidRDefault="005D5C8D" w:rsidP="005D5C8D">
      <w:pPr>
        <w:jc w:val="center"/>
        <w:rPr>
          <w:b/>
          <w:color w:val="00B0F0"/>
          <w:sz w:val="32"/>
        </w:rPr>
      </w:pPr>
    </w:p>
    <w:p w:rsidR="005D5C8D" w:rsidRPr="005D5C8D" w:rsidRDefault="00D5450D" w:rsidP="005D5C8D">
      <w:pPr>
        <w:jc w:val="left"/>
        <w:rPr>
          <w:b/>
        </w:rPr>
      </w:pPr>
      <w:r>
        <w:rPr>
          <w:noProof/>
          <w:lang w:eastAsia="cs-CZ"/>
        </w:rPr>
        <w:drawing>
          <wp:anchor distT="0" distB="0" distL="114300" distR="114300" simplePos="0" relativeHeight="251659264" behindDoc="0" locked="0" layoutInCell="1" allowOverlap="1" wp14:anchorId="05BAD905" wp14:editId="6C244A76">
            <wp:simplePos x="0" y="0"/>
            <wp:positionH relativeFrom="margin">
              <wp:posOffset>3785235</wp:posOffset>
            </wp:positionH>
            <wp:positionV relativeFrom="margin">
              <wp:posOffset>4798695</wp:posOffset>
            </wp:positionV>
            <wp:extent cx="955040" cy="104775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04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C8D" w:rsidRPr="005D5C8D">
        <w:rPr>
          <w:b/>
        </w:rPr>
        <w:t xml:space="preserve">Objednatel: </w:t>
      </w:r>
    </w:p>
    <w:p w:rsidR="005D5C8D" w:rsidRPr="005D5C8D" w:rsidRDefault="005D5C8D" w:rsidP="005D5C8D">
      <w:pPr>
        <w:jc w:val="left"/>
      </w:pPr>
      <w:r w:rsidRPr="005D5C8D">
        <w:t xml:space="preserve">Sociální služby města Velké Meziříčí </w:t>
      </w:r>
    </w:p>
    <w:p w:rsidR="005D5C8D" w:rsidRPr="005D5C8D" w:rsidRDefault="005D5C8D" w:rsidP="005D5C8D">
      <w:pPr>
        <w:jc w:val="left"/>
      </w:pPr>
      <w:r w:rsidRPr="005D5C8D">
        <w:t>Zdenky Vorlové 2001</w:t>
      </w:r>
    </w:p>
    <w:p w:rsidR="005D5C8D" w:rsidRDefault="005D5C8D" w:rsidP="005D5C8D">
      <w:pPr>
        <w:jc w:val="left"/>
      </w:pPr>
      <w:r w:rsidRPr="005D5C8D">
        <w:t>594 01 Velké Meziříčí</w:t>
      </w:r>
    </w:p>
    <w:p w:rsidR="005D5C8D" w:rsidRDefault="005D5C8D" w:rsidP="005D5C8D">
      <w:pPr>
        <w:jc w:val="left"/>
      </w:pPr>
    </w:p>
    <w:p w:rsidR="005D5C8D" w:rsidRDefault="005D5C8D" w:rsidP="005D5C8D">
      <w:pPr>
        <w:jc w:val="left"/>
      </w:pPr>
    </w:p>
    <w:p w:rsidR="005D5C8D" w:rsidRDefault="005D5C8D" w:rsidP="005D5C8D">
      <w:pPr>
        <w:jc w:val="left"/>
      </w:pPr>
    </w:p>
    <w:p w:rsidR="005D5C8D" w:rsidRDefault="005D5C8D" w:rsidP="005D5C8D">
      <w:pPr>
        <w:jc w:val="left"/>
      </w:pPr>
    </w:p>
    <w:p w:rsidR="005D5C8D" w:rsidRDefault="005D5C8D" w:rsidP="005D5C8D">
      <w:pPr>
        <w:jc w:val="left"/>
        <w:rPr>
          <w:b/>
        </w:rPr>
      </w:pPr>
      <w:r>
        <w:rPr>
          <w:b/>
          <w:noProof/>
          <w:lang w:eastAsia="cs-CZ"/>
        </w:rPr>
        <w:drawing>
          <wp:anchor distT="0" distB="0" distL="114300" distR="114300" simplePos="0" relativeHeight="251660288" behindDoc="0" locked="0" layoutInCell="1" allowOverlap="1" wp14:anchorId="4749932B" wp14:editId="6C9FADAA">
            <wp:simplePos x="0" y="0"/>
            <wp:positionH relativeFrom="margin">
              <wp:posOffset>3253105</wp:posOffset>
            </wp:positionH>
            <wp:positionV relativeFrom="margin">
              <wp:posOffset>6815455</wp:posOffset>
            </wp:positionV>
            <wp:extent cx="2228850" cy="107505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Vypracoval: </w:t>
      </w:r>
    </w:p>
    <w:p w:rsidR="005D5C8D" w:rsidRDefault="005D5C8D" w:rsidP="005D5C8D">
      <w:pPr>
        <w:jc w:val="left"/>
        <w:rPr>
          <w:rFonts w:cs="Arial"/>
        </w:rPr>
      </w:pPr>
      <w:r w:rsidRPr="00CF42F3">
        <w:rPr>
          <w:rFonts w:cs="Arial"/>
        </w:rPr>
        <w:t>AUGUR Consulting s.r.o.</w:t>
      </w:r>
    </w:p>
    <w:p w:rsidR="005D5C8D" w:rsidRDefault="005D5C8D" w:rsidP="005D5C8D">
      <w:pPr>
        <w:jc w:val="left"/>
        <w:rPr>
          <w:rFonts w:cs="Arial"/>
        </w:rPr>
      </w:pPr>
      <w:r w:rsidRPr="00CF42F3">
        <w:rPr>
          <w:rFonts w:cs="Arial"/>
        </w:rPr>
        <w:t>Vinařská 5/A1</w:t>
      </w:r>
    </w:p>
    <w:p w:rsidR="005D5C8D" w:rsidRDefault="005D5C8D" w:rsidP="005D5C8D">
      <w:pPr>
        <w:jc w:val="left"/>
        <w:rPr>
          <w:rFonts w:cs="Arial"/>
        </w:rPr>
      </w:pPr>
      <w:r w:rsidRPr="00CF42F3">
        <w:rPr>
          <w:rFonts w:cs="Arial"/>
        </w:rPr>
        <w:t>603 00 Brno</w:t>
      </w:r>
    </w:p>
    <w:p w:rsidR="00D5450D" w:rsidRDefault="00D5450D">
      <w:pPr>
        <w:spacing w:before="0" w:after="200" w:line="276" w:lineRule="auto"/>
        <w:jc w:val="left"/>
        <w:rPr>
          <w:b/>
        </w:rPr>
      </w:pPr>
    </w:p>
    <w:p w:rsidR="00D5450D" w:rsidRDefault="00D5450D">
      <w:pPr>
        <w:spacing w:before="0" w:after="200" w:line="276" w:lineRule="auto"/>
        <w:jc w:val="left"/>
        <w:rPr>
          <w:b/>
        </w:rPr>
      </w:pPr>
    </w:p>
    <w:p w:rsidR="00D5450D" w:rsidRDefault="00D5450D">
      <w:pPr>
        <w:spacing w:before="0" w:after="200" w:line="276" w:lineRule="auto"/>
        <w:jc w:val="left"/>
        <w:rPr>
          <w:b/>
        </w:rPr>
      </w:pPr>
      <w:r>
        <w:t xml:space="preserve">V Brně dne </w:t>
      </w:r>
      <w:r w:rsidR="00981CCC">
        <w:t>15. 9. 2013</w:t>
      </w:r>
      <w:r>
        <w:rPr>
          <w:b/>
        </w:rPr>
        <w:br w:type="page"/>
      </w:r>
    </w:p>
    <w:p w:rsidR="003D0F8B" w:rsidRDefault="00D5450D" w:rsidP="003D0F8B">
      <w:pPr>
        <w:pStyle w:val="Nadpisobsahu"/>
        <w:numPr>
          <w:ilvl w:val="0"/>
          <w:numId w:val="0"/>
        </w:numPr>
      </w:pPr>
      <w:bookmarkStart w:id="1" w:name="_Toc367088656"/>
      <w:r>
        <w:lastRenderedPageBreak/>
        <w:t>OBSAH</w:t>
      </w:r>
      <w:bookmarkEnd w:id="1"/>
    </w:p>
    <w:p w:rsidR="00426EFF" w:rsidRDefault="00996CAC">
      <w:pPr>
        <w:pStyle w:val="Obsah1"/>
        <w:rPr>
          <w:rFonts w:asciiTheme="minorHAnsi" w:eastAsiaTheme="minorEastAsia" w:hAnsiTheme="minorHAnsi"/>
          <w:noProof/>
          <w:sz w:val="22"/>
          <w:lang w:eastAsia="cs-CZ"/>
        </w:rPr>
      </w:pPr>
      <w:r>
        <w:rPr>
          <w:b/>
          <w:color w:val="FF0000"/>
        </w:rPr>
        <w:fldChar w:fldCharType="begin"/>
      </w:r>
      <w:r>
        <w:rPr>
          <w:b/>
          <w:color w:val="FF0000"/>
        </w:rPr>
        <w:instrText xml:space="preserve"> TOC \o "1-4" \h \z \u </w:instrText>
      </w:r>
      <w:r>
        <w:rPr>
          <w:b/>
          <w:color w:val="FF0000"/>
        </w:rPr>
        <w:fldChar w:fldCharType="separate"/>
      </w:r>
      <w:hyperlink w:anchor="_Toc367278132" w:history="1">
        <w:r w:rsidR="00426EFF" w:rsidRPr="00906CBF">
          <w:rPr>
            <w:rStyle w:val="Hypertextovodkaz"/>
            <w:noProof/>
          </w:rPr>
          <w:t>ÚVOD A CÍLE</w:t>
        </w:r>
        <w:r w:rsidR="00426EFF">
          <w:rPr>
            <w:noProof/>
            <w:webHidden/>
          </w:rPr>
          <w:tab/>
        </w:r>
        <w:r w:rsidR="00426EFF">
          <w:rPr>
            <w:noProof/>
            <w:webHidden/>
          </w:rPr>
          <w:fldChar w:fldCharType="begin"/>
        </w:r>
        <w:r w:rsidR="00426EFF">
          <w:rPr>
            <w:noProof/>
            <w:webHidden/>
          </w:rPr>
          <w:instrText xml:space="preserve"> PAGEREF _Toc367278132 \h </w:instrText>
        </w:r>
        <w:r w:rsidR="00426EFF">
          <w:rPr>
            <w:noProof/>
            <w:webHidden/>
          </w:rPr>
        </w:r>
        <w:r w:rsidR="00426EFF">
          <w:rPr>
            <w:noProof/>
            <w:webHidden/>
          </w:rPr>
          <w:fldChar w:fldCharType="separate"/>
        </w:r>
        <w:r w:rsidR="00594151">
          <w:rPr>
            <w:noProof/>
            <w:webHidden/>
          </w:rPr>
          <w:t>3</w:t>
        </w:r>
        <w:r w:rsidR="00426EFF">
          <w:rPr>
            <w:noProof/>
            <w:webHidden/>
          </w:rPr>
          <w:fldChar w:fldCharType="end"/>
        </w:r>
      </w:hyperlink>
    </w:p>
    <w:p w:rsidR="00426EFF" w:rsidRDefault="00EE3646">
      <w:pPr>
        <w:pStyle w:val="Obsah1"/>
        <w:rPr>
          <w:rFonts w:asciiTheme="minorHAnsi" w:eastAsiaTheme="minorEastAsia" w:hAnsiTheme="minorHAnsi"/>
          <w:noProof/>
          <w:sz w:val="22"/>
          <w:lang w:eastAsia="cs-CZ"/>
        </w:rPr>
      </w:pPr>
      <w:hyperlink w:anchor="_Toc367278133" w:history="1">
        <w:r w:rsidR="00426EFF" w:rsidRPr="00906CBF">
          <w:rPr>
            <w:rStyle w:val="Hypertextovodkaz"/>
            <w:noProof/>
          </w:rPr>
          <w:t>KONTEXT</w:t>
        </w:r>
        <w:r w:rsidR="00426EFF">
          <w:rPr>
            <w:noProof/>
            <w:webHidden/>
          </w:rPr>
          <w:tab/>
        </w:r>
        <w:r w:rsidR="00426EFF">
          <w:rPr>
            <w:noProof/>
            <w:webHidden/>
          </w:rPr>
          <w:fldChar w:fldCharType="begin"/>
        </w:r>
        <w:r w:rsidR="00426EFF">
          <w:rPr>
            <w:noProof/>
            <w:webHidden/>
          </w:rPr>
          <w:instrText xml:space="preserve"> PAGEREF _Toc367278133 \h </w:instrText>
        </w:r>
        <w:r w:rsidR="00426EFF">
          <w:rPr>
            <w:noProof/>
            <w:webHidden/>
          </w:rPr>
        </w:r>
        <w:r w:rsidR="00426EFF">
          <w:rPr>
            <w:noProof/>
            <w:webHidden/>
          </w:rPr>
          <w:fldChar w:fldCharType="separate"/>
        </w:r>
        <w:r w:rsidR="00594151">
          <w:rPr>
            <w:noProof/>
            <w:webHidden/>
          </w:rPr>
          <w:t>4</w:t>
        </w:r>
        <w:r w:rsidR="00426EFF">
          <w:rPr>
            <w:noProof/>
            <w:webHidden/>
          </w:rPr>
          <w:fldChar w:fldCharType="end"/>
        </w:r>
      </w:hyperlink>
    </w:p>
    <w:p w:rsidR="00426EFF" w:rsidRDefault="00EE3646">
      <w:pPr>
        <w:pStyle w:val="Obsah1"/>
        <w:rPr>
          <w:rFonts w:asciiTheme="minorHAnsi" w:eastAsiaTheme="minorEastAsia" w:hAnsiTheme="minorHAnsi"/>
          <w:noProof/>
          <w:sz w:val="22"/>
          <w:lang w:eastAsia="cs-CZ"/>
        </w:rPr>
      </w:pPr>
      <w:hyperlink w:anchor="_Toc367278134" w:history="1">
        <w:r w:rsidR="00426EFF" w:rsidRPr="00906CBF">
          <w:rPr>
            <w:rStyle w:val="Hypertextovodkaz"/>
            <w:noProof/>
          </w:rPr>
          <w:t>CÍLOVÉ SKUPINY UŽIVATELŮ SOCIÁLNÍCH SLUŽEB</w:t>
        </w:r>
        <w:r w:rsidR="00426EFF">
          <w:rPr>
            <w:noProof/>
            <w:webHidden/>
          </w:rPr>
          <w:tab/>
        </w:r>
        <w:r w:rsidR="00426EFF">
          <w:rPr>
            <w:noProof/>
            <w:webHidden/>
          </w:rPr>
          <w:fldChar w:fldCharType="begin"/>
        </w:r>
        <w:r w:rsidR="00426EFF">
          <w:rPr>
            <w:noProof/>
            <w:webHidden/>
          </w:rPr>
          <w:instrText xml:space="preserve"> PAGEREF _Toc367278134 \h </w:instrText>
        </w:r>
        <w:r w:rsidR="00426EFF">
          <w:rPr>
            <w:noProof/>
            <w:webHidden/>
          </w:rPr>
        </w:r>
        <w:r w:rsidR="00426EFF">
          <w:rPr>
            <w:noProof/>
            <w:webHidden/>
          </w:rPr>
          <w:fldChar w:fldCharType="separate"/>
        </w:r>
        <w:r w:rsidR="00594151">
          <w:rPr>
            <w:noProof/>
            <w:webHidden/>
          </w:rPr>
          <w:t>4</w:t>
        </w:r>
        <w:r w:rsidR="00426EFF">
          <w:rPr>
            <w:noProof/>
            <w:webHidden/>
          </w:rPr>
          <w:fldChar w:fldCharType="end"/>
        </w:r>
      </w:hyperlink>
    </w:p>
    <w:p w:rsidR="00426EFF" w:rsidRDefault="00EE3646">
      <w:pPr>
        <w:pStyle w:val="Obsah2"/>
        <w:rPr>
          <w:rFonts w:asciiTheme="minorHAnsi" w:eastAsiaTheme="minorEastAsia" w:hAnsiTheme="minorHAnsi"/>
          <w:noProof/>
          <w:sz w:val="22"/>
          <w:lang w:eastAsia="cs-CZ"/>
        </w:rPr>
      </w:pPr>
      <w:hyperlink w:anchor="_Toc367278135" w:history="1">
        <w:r w:rsidR="00426EFF" w:rsidRPr="00906CBF">
          <w:rPr>
            <w:rStyle w:val="Hypertextovodkaz"/>
            <w:noProof/>
          </w:rPr>
          <w:t>A.</w:t>
        </w:r>
        <w:r w:rsidR="00426EFF">
          <w:rPr>
            <w:rFonts w:asciiTheme="minorHAnsi" w:eastAsiaTheme="minorEastAsia" w:hAnsiTheme="minorHAnsi"/>
            <w:noProof/>
            <w:sz w:val="22"/>
            <w:lang w:eastAsia="cs-CZ"/>
          </w:rPr>
          <w:tab/>
        </w:r>
        <w:r w:rsidR="00426EFF" w:rsidRPr="00906CBF">
          <w:rPr>
            <w:rStyle w:val="Hypertextovodkaz"/>
            <w:noProof/>
          </w:rPr>
          <w:t>SOCIÁLNĚ DEMOGRAFICKÁ ANALÝZA</w:t>
        </w:r>
        <w:r w:rsidR="00426EFF">
          <w:rPr>
            <w:noProof/>
            <w:webHidden/>
          </w:rPr>
          <w:tab/>
        </w:r>
        <w:r w:rsidR="00426EFF">
          <w:rPr>
            <w:noProof/>
            <w:webHidden/>
          </w:rPr>
          <w:fldChar w:fldCharType="begin"/>
        </w:r>
        <w:r w:rsidR="00426EFF">
          <w:rPr>
            <w:noProof/>
            <w:webHidden/>
          </w:rPr>
          <w:instrText xml:space="preserve"> PAGEREF _Toc367278135 \h </w:instrText>
        </w:r>
        <w:r w:rsidR="00426EFF">
          <w:rPr>
            <w:noProof/>
            <w:webHidden/>
          </w:rPr>
        </w:r>
        <w:r w:rsidR="00426EFF">
          <w:rPr>
            <w:noProof/>
            <w:webHidden/>
          </w:rPr>
          <w:fldChar w:fldCharType="separate"/>
        </w:r>
        <w:r w:rsidR="00594151">
          <w:rPr>
            <w:noProof/>
            <w:webHidden/>
          </w:rPr>
          <w:t>5</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36" w:history="1">
        <w:r w:rsidR="00426EFF" w:rsidRPr="00906CBF">
          <w:rPr>
            <w:rStyle w:val="Hypertextovodkaz"/>
            <w:noProof/>
          </w:rPr>
          <w:t>A. 1.</w:t>
        </w:r>
        <w:r w:rsidR="00426EFF">
          <w:rPr>
            <w:rFonts w:asciiTheme="minorHAnsi" w:eastAsiaTheme="minorEastAsia" w:hAnsiTheme="minorHAnsi"/>
            <w:noProof/>
            <w:sz w:val="22"/>
            <w:lang w:eastAsia="cs-CZ"/>
          </w:rPr>
          <w:tab/>
        </w:r>
        <w:r w:rsidR="00426EFF" w:rsidRPr="00906CBF">
          <w:rPr>
            <w:rStyle w:val="Hypertextovodkaz"/>
            <w:noProof/>
          </w:rPr>
          <w:t>OBECNÉ INFORMACE</w:t>
        </w:r>
        <w:r w:rsidR="00426EFF">
          <w:rPr>
            <w:noProof/>
            <w:webHidden/>
          </w:rPr>
          <w:tab/>
        </w:r>
        <w:r w:rsidR="00426EFF">
          <w:rPr>
            <w:noProof/>
            <w:webHidden/>
          </w:rPr>
          <w:fldChar w:fldCharType="begin"/>
        </w:r>
        <w:r w:rsidR="00426EFF">
          <w:rPr>
            <w:noProof/>
            <w:webHidden/>
          </w:rPr>
          <w:instrText xml:space="preserve"> PAGEREF _Toc367278136 \h </w:instrText>
        </w:r>
        <w:r w:rsidR="00426EFF">
          <w:rPr>
            <w:noProof/>
            <w:webHidden/>
          </w:rPr>
        </w:r>
        <w:r w:rsidR="00426EFF">
          <w:rPr>
            <w:noProof/>
            <w:webHidden/>
          </w:rPr>
          <w:fldChar w:fldCharType="separate"/>
        </w:r>
        <w:r w:rsidR="00594151">
          <w:rPr>
            <w:noProof/>
            <w:webHidden/>
          </w:rPr>
          <w:t>5</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37" w:history="1">
        <w:r w:rsidR="00426EFF" w:rsidRPr="00906CBF">
          <w:rPr>
            <w:rStyle w:val="Hypertextovodkaz"/>
            <w:noProof/>
          </w:rPr>
          <w:t>A. 2.</w:t>
        </w:r>
        <w:r w:rsidR="00426EFF">
          <w:rPr>
            <w:rFonts w:asciiTheme="minorHAnsi" w:eastAsiaTheme="minorEastAsia" w:hAnsiTheme="minorHAnsi"/>
            <w:noProof/>
            <w:sz w:val="22"/>
            <w:lang w:eastAsia="cs-CZ"/>
          </w:rPr>
          <w:tab/>
        </w:r>
        <w:r w:rsidR="00426EFF" w:rsidRPr="00906CBF">
          <w:rPr>
            <w:rStyle w:val="Hypertextovodkaz"/>
            <w:noProof/>
          </w:rPr>
          <w:t>POČET OBYVATEL</w:t>
        </w:r>
        <w:r w:rsidR="00426EFF">
          <w:rPr>
            <w:noProof/>
            <w:webHidden/>
          </w:rPr>
          <w:tab/>
        </w:r>
        <w:r w:rsidR="00426EFF">
          <w:rPr>
            <w:noProof/>
            <w:webHidden/>
          </w:rPr>
          <w:fldChar w:fldCharType="begin"/>
        </w:r>
        <w:r w:rsidR="00426EFF">
          <w:rPr>
            <w:noProof/>
            <w:webHidden/>
          </w:rPr>
          <w:instrText xml:space="preserve"> PAGEREF _Toc367278137 \h </w:instrText>
        </w:r>
        <w:r w:rsidR="00426EFF">
          <w:rPr>
            <w:noProof/>
            <w:webHidden/>
          </w:rPr>
        </w:r>
        <w:r w:rsidR="00426EFF">
          <w:rPr>
            <w:noProof/>
            <w:webHidden/>
          </w:rPr>
          <w:fldChar w:fldCharType="separate"/>
        </w:r>
        <w:r w:rsidR="00594151">
          <w:rPr>
            <w:noProof/>
            <w:webHidden/>
          </w:rPr>
          <w:t>5</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38" w:history="1">
        <w:r w:rsidR="00426EFF" w:rsidRPr="00906CBF">
          <w:rPr>
            <w:rStyle w:val="Hypertextovodkaz"/>
            <w:noProof/>
          </w:rPr>
          <w:t>A. 3.</w:t>
        </w:r>
        <w:r w:rsidR="00426EFF">
          <w:rPr>
            <w:rFonts w:asciiTheme="minorHAnsi" w:eastAsiaTheme="minorEastAsia" w:hAnsiTheme="minorHAnsi"/>
            <w:noProof/>
            <w:sz w:val="22"/>
            <w:lang w:eastAsia="cs-CZ"/>
          </w:rPr>
          <w:tab/>
        </w:r>
        <w:r w:rsidR="00426EFF" w:rsidRPr="00906CBF">
          <w:rPr>
            <w:rStyle w:val="Hypertextovodkaz"/>
            <w:noProof/>
          </w:rPr>
          <w:t>MORTALITA</w:t>
        </w:r>
        <w:r w:rsidR="00426EFF">
          <w:rPr>
            <w:noProof/>
            <w:webHidden/>
          </w:rPr>
          <w:tab/>
        </w:r>
        <w:r w:rsidR="00426EFF">
          <w:rPr>
            <w:noProof/>
            <w:webHidden/>
          </w:rPr>
          <w:fldChar w:fldCharType="begin"/>
        </w:r>
        <w:r w:rsidR="00426EFF">
          <w:rPr>
            <w:noProof/>
            <w:webHidden/>
          </w:rPr>
          <w:instrText xml:space="preserve"> PAGEREF _Toc367278138 \h </w:instrText>
        </w:r>
        <w:r w:rsidR="00426EFF">
          <w:rPr>
            <w:noProof/>
            <w:webHidden/>
          </w:rPr>
        </w:r>
        <w:r w:rsidR="00426EFF">
          <w:rPr>
            <w:noProof/>
            <w:webHidden/>
          </w:rPr>
          <w:fldChar w:fldCharType="separate"/>
        </w:r>
        <w:r w:rsidR="00594151">
          <w:rPr>
            <w:noProof/>
            <w:webHidden/>
          </w:rPr>
          <w:t>7</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39" w:history="1">
        <w:r w:rsidR="00426EFF" w:rsidRPr="00906CBF">
          <w:rPr>
            <w:rStyle w:val="Hypertextovodkaz"/>
            <w:noProof/>
          </w:rPr>
          <w:t>A. 4.</w:t>
        </w:r>
        <w:r w:rsidR="00426EFF">
          <w:rPr>
            <w:rFonts w:asciiTheme="minorHAnsi" w:eastAsiaTheme="minorEastAsia" w:hAnsiTheme="minorHAnsi"/>
            <w:noProof/>
            <w:sz w:val="22"/>
            <w:lang w:eastAsia="cs-CZ"/>
          </w:rPr>
          <w:tab/>
        </w:r>
        <w:r w:rsidR="00426EFF" w:rsidRPr="00906CBF">
          <w:rPr>
            <w:rStyle w:val="Hypertextovodkaz"/>
            <w:noProof/>
          </w:rPr>
          <w:t>MIGRACE</w:t>
        </w:r>
        <w:r w:rsidR="00426EFF">
          <w:rPr>
            <w:noProof/>
            <w:webHidden/>
          </w:rPr>
          <w:tab/>
        </w:r>
        <w:r w:rsidR="00426EFF">
          <w:rPr>
            <w:noProof/>
            <w:webHidden/>
          </w:rPr>
          <w:fldChar w:fldCharType="begin"/>
        </w:r>
        <w:r w:rsidR="00426EFF">
          <w:rPr>
            <w:noProof/>
            <w:webHidden/>
          </w:rPr>
          <w:instrText xml:space="preserve"> PAGEREF _Toc367278139 \h </w:instrText>
        </w:r>
        <w:r w:rsidR="00426EFF">
          <w:rPr>
            <w:noProof/>
            <w:webHidden/>
          </w:rPr>
        </w:r>
        <w:r w:rsidR="00426EFF">
          <w:rPr>
            <w:noProof/>
            <w:webHidden/>
          </w:rPr>
          <w:fldChar w:fldCharType="separate"/>
        </w:r>
        <w:r w:rsidR="00594151">
          <w:rPr>
            <w:noProof/>
            <w:webHidden/>
          </w:rPr>
          <w:t>9</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40" w:history="1">
        <w:r w:rsidR="00426EFF" w:rsidRPr="00906CBF">
          <w:rPr>
            <w:rStyle w:val="Hypertextovodkaz"/>
            <w:noProof/>
          </w:rPr>
          <w:t>A. 5.</w:t>
        </w:r>
        <w:r w:rsidR="00426EFF">
          <w:rPr>
            <w:rFonts w:asciiTheme="minorHAnsi" w:eastAsiaTheme="minorEastAsia" w:hAnsiTheme="minorHAnsi"/>
            <w:noProof/>
            <w:sz w:val="22"/>
            <w:lang w:eastAsia="cs-CZ"/>
          </w:rPr>
          <w:tab/>
        </w:r>
        <w:r w:rsidR="00426EFF" w:rsidRPr="00906CBF">
          <w:rPr>
            <w:rStyle w:val="Hypertextovodkaz"/>
            <w:noProof/>
          </w:rPr>
          <w:t>SŇATEČNOST A ROZVODOVOST</w:t>
        </w:r>
        <w:r w:rsidR="00426EFF">
          <w:rPr>
            <w:noProof/>
            <w:webHidden/>
          </w:rPr>
          <w:tab/>
        </w:r>
        <w:r w:rsidR="00426EFF">
          <w:rPr>
            <w:noProof/>
            <w:webHidden/>
          </w:rPr>
          <w:fldChar w:fldCharType="begin"/>
        </w:r>
        <w:r w:rsidR="00426EFF">
          <w:rPr>
            <w:noProof/>
            <w:webHidden/>
          </w:rPr>
          <w:instrText xml:space="preserve"> PAGEREF _Toc367278140 \h </w:instrText>
        </w:r>
        <w:r w:rsidR="00426EFF">
          <w:rPr>
            <w:noProof/>
            <w:webHidden/>
          </w:rPr>
        </w:r>
        <w:r w:rsidR="00426EFF">
          <w:rPr>
            <w:noProof/>
            <w:webHidden/>
          </w:rPr>
          <w:fldChar w:fldCharType="separate"/>
        </w:r>
        <w:r w:rsidR="00594151">
          <w:rPr>
            <w:noProof/>
            <w:webHidden/>
          </w:rPr>
          <w:t>11</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41" w:history="1">
        <w:r w:rsidR="00426EFF" w:rsidRPr="00906CBF">
          <w:rPr>
            <w:rStyle w:val="Hypertextovodkaz"/>
            <w:noProof/>
          </w:rPr>
          <w:t>A. 6.</w:t>
        </w:r>
        <w:r w:rsidR="00426EFF">
          <w:rPr>
            <w:rFonts w:asciiTheme="minorHAnsi" w:eastAsiaTheme="minorEastAsia" w:hAnsiTheme="minorHAnsi"/>
            <w:noProof/>
            <w:sz w:val="22"/>
            <w:lang w:eastAsia="cs-CZ"/>
          </w:rPr>
          <w:tab/>
        </w:r>
        <w:r w:rsidR="00426EFF" w:rsidRPr="00906CBF">
          <w:rPr>
            <w:rStyle w:val="Hypertextovodkaz"/>
            <w:noProof/>
          </w:rPr>
          <w:t>DÁVKY PRO OSOBY SE ZDRAVOTNÍM POSTIŽENÍM</w:t>
        </w:r>
        <w:r w:rsidR="00426EFF">
          <w:rPr>
            <w:noProof/>
            <w:webHidden/>
          </w:rPr>
          <w:tab/>
        </w:r>
        <w:r w:rsidR="00426EFF">
          <w:rPr>
            <w:noProof/>
            <w:webHidden/>
          </w:rPr>
          <w:fldChar w:fldCharType="begin"/>
        </w:r>
        <w:r w:rsidR="00426EFF">
          <w:rPr>
            <w:noProof/>
            <w:webHidden/>
          </w:rPr>
          <w:instrText xml:space="preserve"> PAGEREF _Toc367278141 \h </w:instrText>
        </w:r>
        <w:r w:rsidR="00426EFF">
          <w:rPr>
            <w:noProof/>
            <w:webHidden/>
          </w:rPr>
        </w:r>
        <w:r w:rsidR="00426EFF">
          <w:rPr>
            <w:noProof/>
            <w:webHidden/>
          </w:rPr>
          <w:fldChar w:fldCharType="separate"/>
        </w:r>
        <w:r w:rsidR="00594151">
          <w:rPr>
            <w:noProof/>
            <w:webHidden/>
          </w:rPr>
          <w:t>13</w:t>
        </w:r>
        <w:r w:rsidR="00426EFF">
          <w:rPr>
            <w:noProof/>
            <w:webHidden/>
          </w:rPr>
          <w:fldChar w:fldCharType="end"/>
        </w:r>
      </w:hyperlink>
    </w:p>
    <w:p w:rsidR="00426EFF" w:rsidRDefault="00EE3646">
      <w:pPr>
        <w:pStyle w:val="Obsah2"/>
        <w:rPr>
          <w:rFonts w:asciiTheme="minorHAnsi" w:eastAsiaTheme="minorEastAsia" w:hAnsiTheme="minorHAnsi"/>
          <w:noProof/>
          <w:sz w:val="22"/>
          <w:lang w:eastAsia="cs-CZ"/>
        </w:rPr>
      </w:pPr>
      <w:hyperlink w:anchor="_Toc367278142" w:history="1">
        <w:r w:rsidR="00426EFF" w:rsidRPr="00906CBF">
          <w:rPr>
            <w:rStyle w:val="Hypertextovodkaz"/>
            <w:noProof/>
          </w:rPr>
          <w:t>B.</w:t>
        </w:r>
        <w:r w:rsidR="00426EFF">
          <w:rPr>
            <w:rFonts w:asciiTheme="minorHAnsi" w:eastAsiaTheme="minorEastAsia" w:hAnsiTheme="minorHAnsi"/>
            <w:noProof/>
            <w:sz w:val="22"/>
            <w:lang w:eastAsia="cs-CZ"/>
          </w:rPr>
          <w:tab/>
        </w:r>
        <w:r w:rsidR="00426EFF" w:rsidRPr="00906CBF">
          <w:rPr>
            <w:rStyle w:val="Hypertextovodkaz"/>
            <w:noProof/>
          </w:rPr>
          <w:t>ANALÝZA POSKYTOVATELŮ SOCIÁLNÍCH SLUŽEB</w:t>
        </w:r>
        <w:r w:rsidR="00426EFF">
          <w:rPr>
            <w:noProof/>
            <w:webHidden/>
          </w:rPr>
          <w:tab/>
        </w:r>
        <w:r w:rsidR="00426EFF">
          <w:rPr>
            <w:noProof/>
            <w:webHidden/>
          </w:rPr>
          <w:fldChar w:fldCharType="begin"/>
        </w:r>
        <w:r w:rsidR="00426EFF">
          <w:rPr>
            <w:noProof/>
            <w:webHidden/>
          </w:rPr>
          <w:instrText xml:space="preserve"> PAGEREF _Toc367278142 \h </w:instrText>
        </w:r>
        <w:r w:rsidR="00426EFF">
          <w:rPr>
            <w:noProof/>
            <w:webHidden/>
          </w:rPr>
        </w:r>
        <w:r w:rsidR="00426EFF">
          <w:rPr>
            <w:noProof/>
            <w:webHidden/>
          </w:rPr>
          <w:fldChar w:fldCharType="separate"/>
        </w:r>
        <w:r w:rsidR="00594151">
          <w:rPr>
            <w:noProof/>
            <w:webHidden/>
          </w:rPr>
          <w:t>15</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43" w:history="1">
        <w:r w:rsidR="00426EFF" w:rsidRPr="00906CBF">
          <w:rPr>
            <w:rStyle w:val="Hypertextovodkaz"/>
            <w:noProof/>
          </w:rPr>
          <w:t>B. 1.</w:t>
        </w:r>
        <w:r w:rsidR="00426EFF">
          <w:rPr>
            <w:rFonts w:asciiTheme="minorHAnsi" w:eastAsiaTheme="minorEastAsia" w:hAnsiTheme="minorHAnsi"/>
            <w:noProof/>
            <w:sz w:val="22"/>
            <w:lang w:eastAsia="cs-CZ"/>
          </w:rPr>
          <w:tab/>
        </w:r>
        <w:r w:rsidR="00426EFF" w:rsidRPr="00906CBF">
          <w:rPr>
            <w:rStyle w:val="Hypertextovodkaz"/>
            <w:noProof/>
          </w:rPr>
          <w:t>TYPY SOCIÁLNÍCH SLUŽEB A FORMY JEJICH POSKYTOVÁNÍ</w:t>
        </w:r>
        <w:r w:rsidR="00426EFF">
          <w:rPr>
            <w:noProof/>
            <w:webHidden/>
          </w:rPr>
          <w:tab/>
        </w:r>
        <w:r w:rsidR="00426EFF">
          <w:rPr>
            <w:noProof/>
            <w:webHidden/>
          </w:rPr>
          <w:fldChar w:fldCharType="begin"/>
        </w:r>
        <w:r w:rsidR="00426EFF">
          <w:rPr>
            <w:noProof/>
            <w:webHidden/>
          </w:rPr>
          <w:instrText xml:space="preserve"> PAGEREF _Toc367278143 \h </w:instrText>
        </w:r>
        <w:r w:rsidR="00426EFF">
          <w:rPr>
            <w:noProof/>
            <w:webHidden/>
          </w:rPr>
        </w:r>
        <w:r w:rsidR="00426EFF">
          <w:rPr>
            <w:noProof/>
            <w:webHidden/>
          </w:rPr>
          <w:fldChar w:fldCharType="separate"/>
        </w:r>
        <w:r w:rsidR="00594151">
          <w:rPr>
            <w:noProof/>
            <w:webHidden/>
          </w:rPr>
          <w:t>15</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44" w:history="1">
        <w:r w:rsidR="00426EFF" w:rsidRPr="00906CBF">
          <w:rPr>
            <w:rStyle w:val="Hypertextovodkaz"/>
            <w:noProof/>
          </w:rPr>
          <w:t>B. 2.</w:t>
        </w:r>
        <w:r w:rsidR="00426EFF">
          <w:rPr>
            <w:rFonts w:asciiTheme="minorHAnsi" w:eastAsiaTheme="minorEastAsia" w:hAnsiTheme="minorHAnsi"/>
            <w:noProof/>
            <w:sz w:val="22"/>
            <w:lang w:eastAsia="cs-CZ"/>
          </w:rPr>
          <w:tab/>
        </w:r>
        <w:r w:rsidR="00426EFF" w:rsidRPr="00906CBF">
          <w:rPr>
            <w:rStyle w:val="Hypertextovodkaz"/>
            <w:noProof/>
          </w:rPr>
          <w:t>PŘEHLED SOCIÁLNÍCH SLUŽEB</w:t>
        </w:r>
        <w:r w:rsidR="00426EFF">
          <w:rPr>
            <w:noProof/>
            <w:webHidden/>
          </w:rPr>
          <w:tab/>
        </w:r>
        <w:r w:rsidR="00426EFF">
          <w:rPr>
            <w:noProof/>
            <w:webHidden/>
          </w:rPr>
          <w:fldChar w:fldCharType="begin"/>
        </w:r>
        <w:r w:rsidR="00426EFF">
          <w:rPr>
            <w:noProof/>
            <w:webHidden/>
          </w:rPr>
          <w:instrText xml:space="preserve"> PAGEREF _Toc367278144 \h </w:instrText>
        </w:r>
        <w:r w:rsidR="00426EFF">
          <w:rPr>
            <w:noProof/>
            <w:webHidden/>
          </w:rPr>
        </w:r>
        <w:r w:rsidR="00426EFF">
          <w:rPr>
            <w:noProof/>
            <w:webHidden/>
          </w:rPr>
          <w:fldChar w:fldCharType="separate"/>
        </w:r>
        <w:r w:rsidR="00594151">
          <w:rPr>
            <w:noProof/>
            <w:webHidden/>
          </w:rPr>
          <w:t>16</w:t>
        </w:r>
        <w:r w:rsidR="00426EFF">
          <w:rPr>
            <w:noProof/>
            <w:webHidden/>
          </w:rPr>
          <w:fldChar w:fldCharType="end"/>
        </w:r>
      </w:hyperlink>
    </w:p>
    <w:p w:rsidR="00426EFF" w:rsidRDefault="00EE3646">
      <w:pPr>
        <w:pStyle w:val="Obsah4"/>
        <w:tabs>
          <w:tab w:val="left" w:pos="1100"/>
          <w:tab w:val="right" w:leader="dot" w:pos="9062"/>
        </w:tabs>
        <w:rPr>
          <w:rFonts w:asciiTheme="minorHAnsi" w:eastAsiaTheme="minorEastAsia" w:hAnsiTheme="minorHAnsi"/>
          <w:noProof/>
          <w:sz w:val="22"/>
          <w:lang w:eastAsia="cs-CZ"/>
        </w:rPr>
      </w:pPr>
      <w:hyperlink w:anchor="_Toc367278145" w:history="1">
        <w:r w:rsidR="00426EFF" w:rsidRPr="00906CBF">
          <w:rPr>
            <w:rStyle w:val="Hypertextovodkaz"/>
            <w:rFonts w:ascii="Symbol" w:hAnsi="Symbol"/>
            <w:noProof/>
          </w:rPr>
          <w:t></w:t>
        </w:r>
        <w:r w:rsidR="00426EFF">
          <w:rPr>
            <w:rFonts w:asciiTheme="minorHAnsi" w:eastAsiaTheme="minorEastAsia" w:hAnsiTheme="minorHAnsi"/>
            <w:noProof/>
            <w:sz w:val="22"/>
            <w:lang w:eastAsia="cs-CZ"/>
          </w:rPr>
          <w:tab/>
        </w:r>
        <w:r w:rsidR="00426EFF" w:rsidRPr="00906CBF">
          <w:rPr>
            <w:rStyle w:val="Hypertextovodkaz"/>
            <w:noProof/>
          </w:rPr>
          <w:t>Služby sociální péče</w:t>
        </w:r>
        <w:r w:rsidR="00426EFF">
          <w:rPr>
            <w:noProof/>
            <w:webHidden/>
          </w:rPr>
          <w:tab/>
        </w:r>
        <w:r w:rsidR="00426EFF">
          <w:rPr>
            <w:noProof/>
            <w:webHidden/>
          </w:rPr>
          <w:fldChar w:fldCharType="begin"/>
        </w:r>
        <w:r w:rsidR="00426EFF">
          <w:rPr>
            <w:noProof/>
            <w:webHidden/>
          </w:rPr>
          <w:instrText xml:space="preserve"> PAGEREF _Toc367278145 \h </w:instrText>
        </w:r>
        <w:r w:rsidR="00426EFF">
          <w:rPr>
            <w:noProof/>
            <w:webHidden/>
          </w:rPr>
        </w:r>
        <w:r w:rsidR="00426EFF">
          <w:rPr>
            <w:noProof/>
            <w:webHidden/>
          </w:rPr>
          <w:fldChar w:fldCharType="separate"/>
        </w:r>
        <w:r w:rsidR="00594151">
          <w:rPr>
            <w:noProof/>
            <w:webHidden/>
          </w:rPr>
          <w:t>16</w:t>
        </w:r>
        <w:r w:rsidR="00426EFF">
          <w:rPr>
            <w:noProof/>
            <w:webHidden/>
          </w:rPr>
          <w:fldChar w:fldCharType="end"/>
        </w:r>
      </w:hyperlink>
    </w:p>
    <w:p w:rsidR="00426EFF" w:rsidRDefault="00EE3646">
      <w:pPr>
        <w:pStyle w:val="Obsah4"/>
        <w:tabs>
          <w:tab w:val="left" w:pos="1100"/>
          <w:tab w:val="right" w:leader="dot" w:pos="9062"/>
        </w:tabs>
        <w:rPr>
          <w:rFonts w:asciiTheme="minorHAnsi" w:eastAsiaTheme="minorEastAsia" w:hAnsiTheme="minorHAnsi"/>
          <w:noProof/>
          <w:sz w:val="22"/>
          <w:lang w:eastAsia="cs-CZ"/>
        </w:rPr>
      </w:pPr>
      <w:hyperlink w:anchor="_Toc367278155" w:history="1">
        <w:r w:rsidR="00426EFF" w:rsidRPr="00906CBF">
          <w:rPr>
            <w:rStyle w:val="Hypertextovodkaz"/>
            <w:rFonts w:ascii="Symbol" w:hAnsi="Symbol"/>
            <w:noProof/>
          </w:rPr>
          <w:t></w:t>
        </w:r>
        <w:r w:rsidR="00426EFF">
          <w:rPr>
            <w:rFonts w:asciiTheme="minorHAnsi" w:eastAsiaTheme="minorEastAsia" w:hAnsiTheme="minorHAnsi"/>
            <w:noProof/>
            <w:sz w:val="22"/>
            <w:lang w:eastAsia="cs-CZ"/>
          </w:rPr>
          <w:tab/>
        </w:r>
        <w:r w:rsidR="00426EFF" w:rsidRPr="00906CBF">
          <w:rPr>
            <w:rStyle w:val="Hypertextovodkaz"/>
            <w:noProof/>
          </w:rPr>
          <w:t>Služby sociální prevence</w:t>
        </w:r>
        <w:r w:rsidR="00426EFF">
          <w:rPr>
            <w:noProof/>
            <w:webHidden/>
          </w:rPr>
          <w:tab/>
        </w:r>
        <w:r w:rsidR="00426EFF">
          <w:rPr>
            <w:noProof/>
            <w:webHidden/>
          </w:rPr>
          <w:fldChar w:fldCharType="begin"/>
        </w:r>
        <w:r w:rsidR="00426EFF">
          <w:rPr>
            <w:noProof/>
            <w:webHidden/>
          </w:rPr>
          <w:instrText xml:space="preserve"> PAGEREF _Toc367278155 \h </w:instrText>
        </w:r>
        <w:r w:rsidR="00426EFF">
          <w:rPr>
            <w:noProof/>
            <w:webHidden/>
          </w:rPr>
        </w:r>
        <w:r w:rsidR="00426EFF">
          <w:rPr>
            <w:noProof/>
            <w:webHidden/>
          </w:rPr>
          <w:fldChar w:fldCharType="separate"/>
        </w:r>
        <w:r w:rsidR="00594151">
          <w:rPr>
            <w:noProof/>
            <w:webHidden/>
          </w:rPr>
          <w:t>26</w:t>
        </w:r>
        <w:r w:rsidR="00426EFF">
          <w:rPr>
            <w:noProof/>
            <w:webHidden/>
          </w:rPr>
          <w:fldChar w:fldCharType="end"/>
        </w:r>
      </w:hyperlink>
    </w:p>
    <w:p w:rsidR="00426EFF" w:rsidRDefault="00EE3646">
      <w:pPr>
        <w:pStyle w:val="Obsah4"/>
        <w:tabs>
          <w:tab w:val="left" w:pos="1100"/>
          <w:tab w:val="right" w:leader="dot" w:pos="9062"/>
        </w:tabs>
        <w:rPr>
          <w:rFonts w:asciiTheme="minorHAnsi" w:eastAsiaTheme="minorEastAsia" w:hAnsiTheme="minorHAnsi"/>
          <w:noProof/>
          <w:sz w:val="22"/>
          <w:lang w:eastAsia="cs-CZ"/>
        </w:rPr>
      </w:pPr>
      <w:hyperlink w:anchor="_Toc367278165" w:history="1">
        <w:r w:rsidR="00426EFF" w:rsidRPr="00906CBF">
          <w:rPr>
            <w:rStyle w:val="Hypertextovodkaz"/>
            <w:rFonts w:ascii="Symbol" w:hAnsi="Symbol"/>
            <w:noProof/>
          </w:rPr>
          <w:t></w:t>
        </w:r>
        <w:r w:rsidR="00426EFF">
          <w:rPr>
            <w:rFonts w:asciiTheme="minorHAnsi" w:eastAsiaTheme="minorEastAsia" w:hAnsiTheme="minorHAnsi"/>
            <w:noProof/>
            <w:sz w:val="22"/>
            <w:lang w:eastAsia="cs-CZ"/>
          </w:rPr>
          <w:tab/>
        </w:r>
        <w:r w:rsidR="00426EFF" w:rsidRPr="00906CBF">
          <w:rPr>
            <w:rStyle w:val="Hypertextovodkaz"/>
            <w:noProof/>
          </w:rPr>
          <w:t>Služby odborného sociálního poradenství</w:t>
        </w:r>
        <w:r w:rsidR="00426EFF">
          <w:rPr>
            <w:noProof/>
            <w:webHidden/>
          </w:rPr>
          <w:tab/>
        </w:r>
        <w:r w:rsidR="00426EFF">
          <w:rPr>
            <w:noProof/>
            <w:webHidden/>
          </w:rPr>
          <w:fldChar w:fldCharType="begin"/>
        </w:r>
        <w:r w:rsidR="00426EFF">
          <w:rPr>
            <w:noProof/>
            <w:webHidden/>
          </w:rPr>
          <w:instrText xml:space="preserve"> PAGEREF _Toc367278165 \h </w:instrText>
        </w:r>
        <w:r w:rsidR="00426EFF">
          <w:rPr>
            <w:noProof/>
            <w:webHidden/>
          </w:rPr>
        </w:r>
        <w:r w:rsidR="00426EFF">
          <w:rPr>
            <w:noProof/>
            <w:webHidden/>
          </w:rPr>
          <w:fldChar w:fldCharType="separate"/>
        </w:r>
        <w:r w:rsidR="00594151">
          <w:rPr>
            <w:noProof/>
            <w:webHidden/>
          </w:rPr>
          <w:t>35</w:t>
        </w:r>
        <w:r w:rsidR="00426EFF">
          <w:rPr>
            <w:noProof/>
            <w:webHidden/>
          </w:rPr>
          <w:fldChar w:fldCharType="end"/>
        </w:r>
      </w:hyperlink>
    </w:p>
    <w:p w:rsidR="00426EFF" w:rsidRDefault="00EE3646">
      <w:pPr>
        <w:pStyle w:val="Obsah2"/>
        <w:rPr>
          <w:rFonts w:asciiTheme="minorHAnsi" w:eastAsiaTheme="minorEastAsia" w:hAnsiTheme="minorHAnsi"/>
          <w:noProof/>
          <w:sz w:val="22"/>
          <w:lang w:eastAsia="cs-CZ"/>
        </w:rPr>
      </w:pPr>
      <w:hyperlink w:anchor="_Toc367278167" w:history="1">
        <w:r w:rsidR="00426EFF" w:rsidRPr="00906CBF">
          <w:rPr>
            <w:rStyle w:val="Hypertextovodkaz"/>
            <w:noProof/>
          </w:rPr>
          <w:t>C.</w:t>
        </w:r>
        <w:r w:rsidR="00426EFF">
          <w:rPr>
            <w:rFonts w:asciiTheme="minorHAnsi" w:eastAsiaTheme="minorEastAsia" w:hAnsiTheme="minorHAnsi"/>
            <w:noProof/>
            <w:sz w:val="22"/>
            <w:lang w:eastAsia="cs-CZ"/>
          </w:rPr>
          <w:tab/>
        </w:r>
        <w:r w:rsidR="0023297F">
          <w:rPr>
            <w:rStyle w:val="Hypertextovodkaz"/>
            <w:noProof/>
          </w:rPr>
          <w:t>ANALÝZA ZŘIZOVATELE A ZADAVATELE SOCIÁLNÍCH SLUŽEB</w:t>
        </w:r>
        <w:r w:rsidR="00426EFF">
          <w:rPr>
            <w:noProof/>
            <w:webHidden/>
          </w:rPr>
          <w:tab/>
        </w:r>
        <w:r w:rsidR="00426EFF">
          <w:rPr>
            <w:noProof/>
            <w:webHidden/>
          </w:rPr>
          <w:fldChar w:fldCharType="begin"/>
        </w:r>
        <w:r w:rsidR="00426EFF">
          <w:rPr>
            <w:noProof/>
            <w:webHidden/>
          </w:rPr>
          <w:instrText xml:space="preserve"> PAGEREF _Toc367278167 \h </w:instrText>
        </w:r>
        <w:r w:rsidR="00426EFF">
          <w:rPr>
            <w:noProof/>
            <w:webHidden/>
          </w:rPr>
        </w:r>
        <w:r w:rsidR="00426EFF">
          <w:rPr>
            <w:noProof/>
            <w:webHidden/>
          </w:rPr>
          <w:fldChar w:fldCharType="separate"/>
        </w:r>
        <w:r w:rsidR="00594151">
          <w:rPr>
            <w:noProof/>
            <w:webHidden/>
          </w:rPr>
          <w:t>36</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68" w:history="1">
        <w:r w:rsidR="00426EFF" w:rsidRPr="00906CBF">
          <w:rPr>
            <w:rStyle w:val="Hypertextovodkaz"/>
            <w:noProof/>
          </w:rPr>
          <w:t>C. 1.</w:t>
        </w:r>
        <w:r w:rsidR="00426EFF">
          <w:rPr>
            <w:rFonts w:asciiTheme="minorHAnsi" w:eastAsiaTheme="minorEastAsia" w:hAnsiTheme="minorHAnsi"/>
            <w:noProof/>
            <w:sz w:val="22"/>
            <w:lang w:eastAsia="cs-CZ"/>
          </w:rPr>
          <w:tab/>
        </w:r>
        <w:r w:rsidR="00426EFF" w:rsidRPr="00906CBF">
          <w:rPr>
            <w:rStyle w:val="Hypertextovodkaz"/>
            <w:noProof/>
          </w:rPr>
          <w:t>Výdaje na jednotlivé sociální služby z rozpočtu města Velké Meziříčí</w:t>
        </w:r>
        <w:r w:rsidR="00426EFF">
          <w:rPr>
            <w:noProof/>
            <w:webHidden/>
          </w:rPr>
          <w:tab/>
        </w:r>
        <w:r w:rsidR="00426EFF">
          <w:rPr>
            <w:noProof/>
            <w:webHidden/>
          </w:rPr>
          <w:fldChar w:fldCharType="begin"/>
        </w:r>
        <w:r w:rsidR="00426EFF">
          <w:rPr>
            <w:noProof/>
            <w:webHidden/>
          </w:rPr>
          <w:instrText xml:space="preserve"> PAGEREF _Toc367278168 \h </w:instrText>
        </w:r>
        <w:r w:rsidR="00426EFF">
          <w:rPr>
            <w:noProof/>
            <w:webHidden/>
          </w:rPr>
        </w:r>
        <w:r w:rsidR="00426EFF">
          <w:rPr>
            <w:noProof/>
            <w:webHidden/>
          </w:rPr>
          <w:fldChar w:fldCharType="separate"/>
        </w:r>
        <w:r w:rsidR="00594151">
          <w:rPr>
            <w:noProof/>
            <w:webHidden/>
          </w:rPr>
          <w:t>36</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69" w:history="1">
        <w:r w:rsidR="00426EFF" w:rsidRPr="00906CBF">
          <w:rPr>
            <w:rStyle w:val="Hypertextovodkaz"/>
            <w:noProof/>
          </w:rPr>
          <w:t>C. 2.</w:t>
        </w:r>
        <w:r w:rsidR="00426EFF">
          <w:rPr>
            <w:rFonts w:asciiTheme="minorHAnsi" w:eastAsiaTheme="minorEastAsia" w:hAnsiTheme="minorHAnsi"/>
            <w:noProof/>
            <w:sz w:val="22"/>
            <w:lang w:eastAsia="cs-CZ"/>
          </w:rPr>
          <w:tab/>
        </w:r>
        <w:r w:rsidR="00426EFF" w:rsidRPr="00906CBF">
          <w:rPr>
            <w:rStyle w:val="Hypertextovodkaz"/>
            <w:noProof/>
          </w:rPr>
          <w:t>Dotace neziskovým organizacím</w:t>
        </w:r>
        <w:r w:rsidR="00426EFF">
          <w:rPr>
            <w:noProof/>
            <w:webHidden/>
          </w:rPr>
          <w:tab/>
        </w:r>
        <w:r w:rsidR="00426EFF">
          <w:rPr>
            <w:noProof/>
            <w:webHidden/>
          </w:rPr>
          <w:fldChar w:fldCharType="begin"/>
        </w:r>
        <w:r w:rsidR="00426EFF">
          <w:rPr>
            <w:noProof/>
            <w:webHidden/>
          </w:rPr>
          <w:instrText xml:space="preserve"> PAGEREF _Toc367278169 \h </w:instrText>
        </w:r>
        <w:r w:rsidR="00426EFF">
          <w:rPr>
            <w:noProof/>
            <w:webHidden/>
          </w:rPr>
        </w:r>
        <w:r w:rsidR="00426EFF">
          <w:rPr>
            <w:noProof/>
            <w:webHidden/>
          </w:rPr>
          <w:fldChar w:fldCharType="separate"/>
        </w:r>
        <w:r w:rsidR="00594151">
          <w:rPr>
            <w:noProof/>
            <w:webHidden/>
          </w:rPr>
          <w:t>37</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70" w:history="1">
        <w:r w:rsidR="00426EFF" w:rsidRPr="00906CBF">
          <w:rPr>
            <w:rStyle w:val="Hypertextovodkaz"/>
            <w:noProof/>
          </w:rPr>
          <w:t>C. 3.</w:t>
        </w:r>
        <w:r w:rsidR="00426EFF">
          <w:rPr>
            <w:rFonts w:asciiTheme="minorHAnsi" w:eastAsiaTheme="minorEastAsia" w:hAnsiTheme="minorHAnsi"/>
            <w:noProof/>
            <w:sz w:val="22"/>
            <w:lang w:eastAsia="cs-CZ"/>
          </w:rPr>
          <w:tab/>
        </w:r>
        <w:r w:rsidR="00426EFF" w:rsidRPr="00906CBF">
          <w:rPr>
            <w:rStyle w:val="Hypertextovodkaz"/>
            <w:noProof/>
          </w:rPr>
          <w:t>Celkové výdaje na sociální služby</w:t>
        </w:r>
        <w:r w:rsidR="00426EFF">
          <w:rPr>
            <w:noProof/>
            <w:webHidden/>
          </w:rPr>
          <w:tab/>
        </w:r>
        <w:r w:rsidR="00426EFF">
          <w:rPr>
            <w:noProof/>
            <w:webHidden/>
          </w:rPr>
          <w:fldChar w:fldCharType="begin"/>
        </w:r>
        <w:r w:rsidR="00426EFF">
          <w:rPr>
            <w:noProof/>
            <w:webHidden/>
          </w:rPr>
          <w:instrText xml:space="preserve"> PAGEREF _Toc367278170 \h </w:instrText>
        </w:r>
        <w:r w:rsidR="00426EFF">
          <w:rPr>
            <w:noProof/>
            <w:webHidden/>
          </w:rPr>
        </w:r>
        <w:r w:rsidR="00426EFF">
          <w:rPr>
            <w:noProof/>
            <w:webHidden/>
          </w:rPr>
          <w:fldChar w:fldCharType="separate"/>
        </w:r>
        <w:r w:rsidR="00594151">
          <w:rPr>
            <w:noProof/>
            <w:webHidden/>
          </w:rPr>
          <w:t>37</w:t>
        </w:r>
        <w:r w:rsidR="00426EFF">
          <w:rPr>
            <w:noProof/>
            <w:webHidden/>
          </w:rPr>
          <w:fldChar w:fldCharType="end"/>
        </w:r>
      </w:hyperlink>
    </w:p>
    <w:p w:rsidR="00426EFF" w:rsidRDefault="00EE3646">
      <w:pPr>
        <w:pStyle w:val="Obsah2"/>
        <w:rPr>
          <w:rFonts w:asciiTheme="minorHAnsi" w:eastAsiaTheme="minorEastAsia" w:hAnsiTheme="minorHAnsi"/>
          <w:noProof/>
          <w:sz w:val="22"/>
          <w:lang w:eastAsia="cs-CZ"/>
        </w:rPr>
      </w:pPr>
      <w:hyperlink w:anchor="_Toc367278171" w:history="1">
        <w:r w:rsidR="00426EFF" w:rsidRPr="00906CBF">
          <w:rPr>
            <w:rStyle w:val="Hypertextovodkaz"/>
            <w:noProof/>
          </w:rPr>
          <w:t>D.</w:t>
        </w:r>
        <w:r w:rsidR="00426EFF">
          <w:rPr>
            <w:rFonts w:asciiTheme="minorHAnsi" w:eastAsiaTheme="minorEastAsia" w:hAnsiTheme="minorHAnsi"/>
            <w:noProof/>
            <w:sz w:val="22"/>
            <w:lang w:eastAsia="cs-CZ"/>
          </w:rPr>
          <w:tab/>
        </w:r>
        <w:r w:rsidR="00426EFF" w:rsidRPr="00906CBF">
          <w:rPr>
            <w:rStyle w:val="Hypertextovodkaz"/>
            <w:noProof/>
          </w:rPr>
          <w:t>ANALÝZA CÍLOVÝCH SKUPIN UŽIVATELŮ</w:t>
        </w:r>
        <w:r w:rsidR="00426EFF">
          <w:rPr>
            <w:noProof/>
            <w:webHidden/>
          </w:rPr>
          <w:tab/>
        </w:r>
        <w:r w:rsidR="00426EFF">
          <w:rPr>
            <w:noProof/>
            <w:webHidden/>
          </w:rPr>
          <w:fldChar w:fldCharType="begin"/>
        </w:r>
        <w:r w:rsidR="00426EFF">
          <w:rPr>
            <w:noProof/>
            <w:webHidden/>
          </w:rPr>
          <w:instrText xml:space="preserve"> PAGEREF _Toc367278171 \h </w:instrText>
        </w:r>
        <w:r w:rsidR="00426EFF">
          <w:rPr>
            <w:noProof/>
            <w:webHidden/>
          </w:rPr>
        </w:r>
        <w:r w:rsidR="00426EFF">
          <w:rPr>
            <w:noProof/>
            <w:webHidden/>
          </w:rPr>
          <w:fldChar w:fldCharType="separate"/>
        </w:r>
        <w:r w:rsidR="00594151">
          <w:rPr>
            <w:noProof/>
            <w:webHidden/>
          </w:rPr>
          <w:t>39</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72" w:history="1">
        <w:r w:rsidR="00426EFF" w:rsidRPr="00906CBF">
          <w:rPr>
            <w:rStyle w:val="Hypertextovodkaz"/>
            <w:noProof/>
          </w:rPr>
          <w:t>D. 1.</w:t>
        </w:r>
        <w:r w:rsidR="00426EFF">
          <w:rPr>
            <w:rFonts w:asciiTheme="minorHAnsi" w:eastAsiaTheme="minorEastAsia" w:hAnsiTheme="minorHAnsi"/>
            <w:noProof/>
            <w:sz w:val="22"/>
            <w:lang w:eastAsia="cs-CZ"/>
          </w:rPr>
          <w:tab/>
        </w:r>
        <w:r w:rsidR="00426EFF" w:rsidRPr="00906CBF">
          <w:rPr>
            <w:rStyle w:val="Hypertextovodkaz"/>
            <w:noProof/>
          </w:rPr>
          <w:t>METODOLOGIE</w:t>
        </w:r>
        <w:r w:rsidR="00426EFF">
          <w:rPr>
            <w:noProof/>
            <w:webHidden/>
          </w:rPr>
          <w:tab/>
        </w:r>
        <w:r w:rsidR="00426EFF">
          <w:rPr>
            <w:noProof/>
            <w:webHidden/>
          </w:rPr>
          <w:fldChar w:fldCharType="begin"/>
        </w:r>
        <w:r w:rsidR="00426EFF">
          <w:rPr>
            <w:noProof/>
            <w:webHidden/>
          </w:rPr>
          <w:instrText xml:space="preserve"> PAGEREF _Toc367278172 \h </w:instrText>
        </w:r>
        <w:r w:rsidR="00426EFF">
          <w:rPr>
            <w:noProof/>
            <w:webHidden/>
          </w:rPr>
        </w:r>
        <w:r w:rsidR="00426EFF">
          <w:rPr>
            <w:noProof/>
            <w:webHidden/>
          </w:rPr>
          <w:fldChar w:fldCharType="separate"/>
        </w:r>
        <w:r w:rsidR="00594151">
          <w:rPr>
            <w:noProof/>
            <w:webHidden/>
          </w:rPr>
          <w:t>39</w:t>
        </w:r>
        <w:r w:rsidR="00426EFF">
          <w:rPr>
            <w:noProof/>
            <w:webHidden/>
          </w:rPr>
          <w:fldChar w:fldCharType="end"/>
        </w:r>
      </w:hyperlink>
    </w:p>
    <w:p w:rsidR="00426EFF" w:rsidRDefault="00EE3646" w:rsidP="00426EFF">
      <w:pPr>
        <w:pStyle w:val="Obsah3"/>
        <w:ind w:left="426"/>
        <w:rPr>
          <w:rFonts w:asciiTheme="minorHAnsi" w:eastAsiaTheme="minorEastAsia" w:hAnsiTheme="minorHAnsi"/>
          <w:noProof/>
          <w:sz w:val="22"/>
          <w:lang w:eastAsia="cs-CZ"/>
        </w:rPr>
      </w:pPr>
      <w:hyperlink w:anchor="_Toc367278173" w:history="1">
        <w:r w:rsidR="00426EFF" w:rsidRPr="00906CBF">
          <w:rPr>
            <w:rStyle w:val="Hypertextovodkaz"/>
            <w:noProof/>
          </w:rPr>
          <w:t>D. 2.</w:t>
        </w:r>
        <w:r w:rsidR="00426EFF">
          <w:rPr>
            <w:rFonts w:asciiTheme="minorHAnsi" w:eastAsiaTheme="minorEastAsia" w:hAnsiTheme="minorHAnsi"/>
            <w:noProof/>
            <w:sz w:val="22"/>
            <w:lang w:eastAsia="cs-CZ"/>
          </w:rPr>
          <w:tab/>
        </w:r>
        <w:r w:rsidR="00426EFF" w:rsidRPr="00906CBF">
          <w:rPr>
            <w:rStyle w:val="Hypertextovodkaz"/>
            <w:noProof/>
          </w:rPr>
          <w:t>VYHODNOCENÍ DOTAZNÍKU PRO SENIORY</w:t>
        </w:r>
        <w:r w:rsidR="00426EFF">
          <w:rPr>
            <w:noProof/>
            <w:webHidden/>
          </w:rPr>
          <w:tab/>
        </w:r>
        <w:r w:rsidR="00426EFF">
          <w:rPr>
            <w:noProof/>
            <w:webHidden/>
          </w:rPr>
          <w:fldChar w:fldCharType="begin"/>
        </w:r>
        <w:r w:rsidR="00426EFF">
          <w:rPr>
            <w:noProof/>
            <w:webHidden/>
          </w:rPr>
          <w:instrText xml:space="preserve"> PAGEREF _Toc367278173 \h </w:instrText>
        </w:r>
        <w:r w:rsidR="00426EFF">
          <w:rPr>
            <w:noProof/>
            <w:webHidden/>
          </w:rPr>
        </w:r>
        <w:r w:rsidR="00426EFF">
          <w:rPr>
            <w:noProof/>
            <w:webHidden/>
          </w:rPr>
          <w:fldChar w:fldCharType="separate"/>
        </w:r>
        <w:r w:rsidR="00594151">
          <w:rPr>
            <w:noProof/>
            <w:webHidden/>
          </w:rPr>
          <w:t>39</w:t>
        </w:r>
        <w:r w:rsidR="00426EFF">
          <w:rPr>
            <w:noProof/>
            <w:webHidden/>
          </w:rPr>
          <w:fldChar w:fldCharType="end"/>
        </w:r>
      </w:hyperlink>
    </w:p>
    <w:p w:rsidR="00426EFF" w:rsidRDefault="00EE3646">
      <w:pPr>
        <w:pStyle w:val="Obsah2"/>
        <w:rPr>
          <w:rFonts w:asciiTheme="minorHAnsi" w:eastAsiaTheme="minorEastAsia" w:hAnsiTheme="minorHAnsi"/>
          <w:noProof/>
          <w:sz w:val="22"/>
          <w:lang w:eastAsia="cs-CZ"/>
        </w:rPr>
      </w:pPr>
      <w:hyperlink w:anchor="_Toc367278174" w:history="1">
        <w:r w:rsidR="00426EFF" w:rsidRPr="00906CBF">
          <w:rPr>
            <w:rStyle w:val="Hypertextovodkaz"/>
            <w:noProof/>
          </w:rPr>
          <w:t>E.</w:t>
        </w:r>
        <w:r w:rsidR="00426EFF">
          <w:rPr>
            <w:rFonts w:asciiTheme="minorHAnsi" w:eastAsiaTheme="minorEastAsia" w:hAnsiTheme="minorHAnsi"/>
            <w:noProof/>
            <w:sz w:val="22"/>
            <w:lang w:eastAsia="cs-CZ"/>
          </w:rPr>
          <w:tab/>
        </w:r>
        <w:r w:rsidR="00426EFF" w:rsidRPr="00906CBF">
          <w:rPr>
            <w:rStyle w:val="Hypertextovodkaz"/>
            <w:noProof/>
          </w:rPr>
          <w:t>VYHODNOCENÍ DOTAZNÍKU PRO OSOBY SE ZDRAVOTNÍM POSTIŽENÍM</w:t>
        </w:r>
        <w:r w:rsidR="00426EFF">
          <w:rPr>
            <w:noProof/>
            <w:webHidden/>
          </w:rPr>
          <w:tab/>
        </w:r>
        <w:r w:rsidR="00426EFF">
          <w:rPr>
            <w:noProof/>
            <w:webHidden/>
          </w:rPr>
          <w:tab/>
        </w:r>
        <w:r w:rsidR="00426EFF">
          <w:rPr>
            <w:noProof/>
            <w:webHidden/>
          </w:rPr>
          <w:tab/>
        </w:r>
        <w:r w:rsidR="00426EFF">
          <w:rPr>
            <w:noProof/>
            <w:webHidden/>
          </w:rPr>
          <w:fldChar w:fldCharType="begin"/>
        </w:r>
        <w:r w:rsidR="00426EFF">
          <w:rPr>
            <w:noProof/>
            <w:webHidden/>
          </w:rPr>
          <w:instrText xml:space="preserve"> PAGEREF _Toc367278174 \h </w:instrText>
        </w:r>
        <w:r w:rsidR="00426EFF">
          <w:rPr>
            <w:noProof/>
            <w:webHidden/>
          </w:rPr>
        </w:r>
        <w:r w:rsidR="00426EFF">
          <w:rPr>
            <w:noProof/>
            <w:webHidden/>
          </w:rPr>
          <w:fldChar w:fldCharType="separate"/>
        </w:r>
        <w:r w:rsidR="00594151">
          <w:rPr>
            <w:noProof/>
            <w:webHidden/>
          </w:rPr>
          <w:t>49</w:t>
        </w:r>
        <w:r w:rsidR="00426EFF">
          <w:rPr>
            <w:noProof/>
            <w:webHidden/>
          </w:rPr>
          <w:fldChar w:fldCharType="end"/>
        </w:r>
      </w:hyperlink>
    </w:p>
    <w:p w:rsidR="00426EFF" w:rsidRDefault="00EE3646">
      <w:pPr>
        <w:pStyle w:val="Obsah1"/>
        <w:rPr>
          <w:rFonts w:asciiTheme="minorHAnsi" w:eastAsiaTheme="minorEastAsia" w:hAnsiTheme="minorHAnsi"/>
          <w:noProof/>
          <w:sz w:val="22"/>
          <w:lang w:eastAsia="cs-CZ"/>
        </w:rPr>
      </w:pPr>
      <w:hyperlink w:anchor="_Toc367278175" w:history="1">
        <w:r w:rsidR="00426EFF" w:rsidRPr="00906CBF">
          <w:rPr>
            <w:rStyle w:val="Hypertextovodkaz"/>
            <w:noProof/>
          </w:rPr>
          <w:t>SHRNUTÍ HLAVNÍCH ZJIŠTĚNÍ A RÁMCOVÁ DOPORUČENÍ</w:t>
        </w:r>
        <w:r w:rsidR="00426EFF">
          <w:rPr>
            <w:noProof/>
            <w:webHidden/>
          </w:rPr>
          <w:tab/>
        </w:r>
        <w:r w:rsidR="00426EFF">
          <w:rPr>
            <w:noProof/>
            <w:webHidden/>
          </w:rPr>
          <w:fldChar w:fldCharType="begin"/>
        </w:r>
        <w:r w:rsidR="00426EFF">
          <w:rPr>
            <w:noProof/>
            <w:webHidden/>
          </w:rPr>
          <w:instrText xml:space="preserve"> PAGEREF _Toc367278175 \h </w:instrText>
        </w:r>
        <w:r w:rsidR="00426EFF">
          <w:rPr>
            <w:noProof/>
            <w:webHidden/>
          </w:rPr>
        </w:r>
        <w:r w:rsidR="00426EFF">
          <w:rPr>
            <w:noProof/>
            <w:webHidden/>
          </w:rPr>
          <w:fldChar w:fldCharType="separate"/>
        </w:r>
        <w:r w:rsidR="00594151">
          <w:rPr>
            <w:noProof/>
            <w:webHidden/>
          </w:rPr>
          <w:t>62</w:t>
        </w:r>
        <w:r w:rsidR="00426EFF">
          <w:rPr>
            <w:noProof/>
            <w:webHidden/>
          </w:rPr>
          <w:fldChar w:fldCharType="end"/>
        </w:r>
      </w:hyperlink>
    </w:p>
    <w:p w:rsidR="00426EFF" w:rsidRDefault="00EE3646">
      <w:pPr>
        <w:pStyle w:val="Obsah1"/>
        <w:rPr>
          <w:rFonts w:asciiTheme="minorHAnsi" w:eastAsiaTheme="minorEastAsia" w:hAnsiTheme="minorHAnsi"/>
          <w:noProof/>
          <w:sz w:val="22"/>
          <w:lang w:eastAsia="cs-CZ"/>
        </w:rPr>
      </w:pPr>
      <w:hyperlink w:anchor="_Toc367278176" w:history="1">
        <w:r w:rsidR="00426EFF" w:rsidRPr="00906CBF">
          <w:rPr>
            <w:rStyle w:val="Hypertextovodkaz"/>
            <w:noProof/>
          </w:rPr>
          <w:t>PŘÍLOHY</w:t>
        </w:r>
        <w:r w:rsidR="00426EFF">
          <w:rPr>
            <w:noProof/>
            <w:webHidden/>
          </w:rPr>
          <w:tab/>
        </w:r>
        <w:r w:rsidR="00426EFF">
          <w:rPr>
            <w:noProof/>
            <w:webHidden/>
          </w:rPr>
          <w:fldChar w:fldCharType="begin"/>
        </w:r>
        <w:r w:rsidR="00426EFF">
          <w:rPr>
            <w:noProof/>
            <w:webHidden/>
          </w:rPr>
          <w:instrText xml:space="preserve"> PAGEREF _Toc367278176 \h </w:instrText>
        </w:r>
        <w:r w:rsidR="00426EFF">
          <w:rPr>
            <w:noProof/>
            <w:webHidden/>
          </w:rPr>
        </w:r>
        <w:r w:rsidR="00426EFF">
          <w:rPr>
            <w:noProof/>
            <w:webHidden/>
          </w:rPr>
          <w:fldChar w:fldCharType="separate"/>
        </w:r>
        <w:r w:rsidR="00594151">
          <w:rPr>
            <w:noProof/>
            <w:webHidden/>
          </w:rPr>
          <w:t>62</w:t>
        </w:r>
        <w:r w:rsidR="00426EFF">
          <w:rPr>
            <w:noProof/>
            <w:webHidden/>
          </w:rPr>
          <w:fldChar w:fldCharType="end"/>
        </w:r>
      </w:hyperlink>
    </w:p>
    <w:p w:rsidR="00426EFF" w:rsidRDefault="00EE3646">
      <w:pPr>
        <w:pStyle w:val="Obsah2"/>
        <w:rPr>
          <w:rFonts w:asciiTheme="minorHAnsi" w:eastAsiaTheme="minorEastAsia" w:hAnsiTheme="minorHAnsi"/>
          <w:noProof/>
          <w:sz w:val="22"/>
          <w:lang w:eastAsia="cs-CZ"/>
        </w:rPr>
      </w:pPr>
      <w:hyperlink w:anchor="_Toc367278177" w:history="1">
        <w:r w:rsidR="00426EFF" w:rsidRPr="00906CBF">
          <w:rPr>
            <w:rStyle w:val="Hypertextovodkaz"/>
            <w:noProof/>
          </w:rPr>
          <w:t>A.</w:t>
        </w:r>
        <w:r w:rsidR="00426EFF">
          <w:rPr>
            <w:rFonts w:asciiTheme="minorHAnsi" w:eastAsiaTheme="minorEastAsia" w:hAnsiTheme="minorHAnsi"/>
            <w:noProof/>
            <w:sz w:val="22"/>
            <w:lang w:eastAsia="cs-CZ"/>
          </w:rPr>
          <w:tab/>
        </w:r>
        <w:r w:rsidR="00426EFF" w:rsidRPr="00906CBF">
          <w:rPr>
            <w:rStyle w:val="Hypertextovodkaz"/>
            <w:noProof/>
          </w:rPr>
          <w:t>Seznam grafů</w:t>
        </w:r>
        <w:r w:rsidR="00426EFF">
          <w:rPr>
            <w:noProof/>
            <w:webHidden/>
          </w:rPr>
          <w:tab/>
        </w:r>
        <w:r w:rsidR="00426EFF">
          <w:rPr>
            <w:noProof/>
            <w:webHidden/>
          </w:rPr>
          <w:fldChar w:fldCharType="begin"/>
        </w:r>
        <w:r w:rsidR="00426EFF">
          <w:rPr>
            <w:noProof/>
            <w:webHidden/>
          </w:rPr>
          <w:instrText xml:space="preserve"> PAGEREF _Toc367278177 \h </w:instrText>
        </w:r>
        <w:r w:rsidR="00426EFF">
          <w:rPr>
            <w:noProof/>
            <w:webHidden/>
          </w:rPr>
        </w:r>
        <w:r w:rsidR="00426EFF">
          <w:rPr>
            <w:noProof/>
            <w:webHidden/>
          </w:rPr>
          <w:fldChar w:fldCharType="separate"/>
        </w:r>
        <w:r w:rsidR="00594151">
          <w:rPr>
            <w:noProof/>
            <w:webHidden/>
          </w:rPr>
          <w:t>68</w:t>
        </w:r>
        <w:r w:rsidR="00426EFF">
          <w:rPr>
            <w:noProof/>
            <w:webHidden/>
          </w:rPr>
          <w:fldChar w:fldCharType="end"/>
        </w:r>
      </w:hyperlink>
    </w:p>
    <w:p w:rsidR="00426EFF" w:rsidRDefault="00EE3646">
      <w:pPr>
        <w:pStyle w:val="Obsah2"/>
        <w:rPr>
          <w:rFonts w:asciiTheme="minorHAnsi" w:eastAsiaTheme="minorEastAsia" w:hAnsiTheme="minorHAnsi"/>
          <w:noProof/>
          <w:sz w:val="22"/>
          <w:lang w:eastAsia="cs-CZ"/>
        </w:rPr>
      </w:pPr>
      <w:hyperlink w:anchor="_Toc367278178" w:history="1">
        <w:r w:rsidR="00426EFF" w:rsidRPr="00906CBF">
          <w:rPr>
            <w:rStyle w:val="Hypertextovodkaz"/>
            <w:noProof/>
          </w:rPr>
          <w:t>B.</w:t>
        </w:r>
        <w:r w:rsidR="00426EFF">
          <w:rPr>
            <w:rFonts w:asciiTheme="minorHAnsi" w:eastAsiaTheme="minorEastAsia" w:hAnsiTheme="minorHAnsi"/>
            <w:noProof/>
            <w:sz w:val="22"/>
            <w:lang w:eastAsia="cs-CZ"/>
          </w:rPr>
          <w:tab/>
        </w:r>
        <w:r w:rsidR="00426EFF" w:rsidRPr="00906CBF">
          <w:rPr>
            <w:rStyle w:val="Hypertextovodkaz"/>
            <w:noProof/>
          </w:rPr>
          <w:t>Seznam tabulek</w:t>
        </w:r>
        <w:r w:rsidR="00426EFF">
          <w:rPr>
            <w:noProof/>
            <w:webHidden/>
          </w:rPr>
          <w:tab/>
        </w:r>
        <w:r w:rsidR="00426EFF">
          <w:rPr>
            <w:noProof/>
            <w:webHidden/>
          </w:rPr>
          <w:fldChar w:fldCharType="begin"/>
        </w:r>
        <w:r w:rsidR="00426EFF">
          <w:rPr>
            <w:noProof/>
            <w:webHidden/>
          </w:rPr>
          <w:instrText xml:space="preserve"> PAGEREF _Toc367278178 \h </w:instrText>
        </w:r>
        <w:r w:rsidR="00426EFF">
          <w:rPr>
            <w:noProof/>
            <w:webHidden/>
          </w:rPr>
        </w:r>
        <w:r w:rsidR="00426EFF">
          <w:rPr>
            <w:noProof/>
            <w:webHidden/>
          </w:rPr>
          <w:fldChar w:fldCharType="separate"/>
        </w:r>
        <w:r w:rsidR="00594151">
          <w:rPr>
            <w:noProof/>
            <w:webHidden/>
          </w:rPr>
          <w:t>69</w:t>
        </w:r>
        <w:r w:rsidR="00426EFF">
          <w:rPr>
            <w:noProof/>
            <w:webHidden/>
          </w:rPr>
          <w:fldChar w:fldCharType="end"/>
        </w:r>
      </w:hyperlink>
    </w:p>
    <w:p w:rsidR="00D5450D" w:rsidRDefault="00996CAC">
      <w:pPr>
        <w:spacing w:before="0" w:after="200" w:line="276" w:lineRule="auto"/>
        <w:jc w:val="left"/>
        <w:rPr>
          <w:b/>
          <w:color w:val="FF0000"/>
        </w:rPr>
      </w:pPr>
      <w:r>
        <w:rPr>
          <w:b/>
          <w:color w:val="FF0000"/>
        </w:rPr>
        <w:fldChar w:fldCharType="end"/>
      </w:r>
      <w:r w:rsidR="00D5450D">
        <w:rPr>
          <w:b/>
          <w:color w:val="FF0000"/>
        </w:rPr>
        <w:br w:type="page"/>
      </w:r>
    </w:p>
    <w:p w:rsidR="00D5450D" w:rsidRDefault="00D5450D" w:rsidP="007D3210">
      <w:pPr>
        <w:pStyle w:val="Nadpis1"/>
        <w:numPr>
          <w:ilvl w:val="0"/>
          <w:numId w:val="0"/>
        </w:numPr>
      </w:pPr>
      <w:bookmarkStart w:id="2" w:name="_Toc367278132"/>
      <w:r>
        <w:lastRenderedPageBreak/>
        <w:t>ÚVOD</w:t>
      </w:r>
      <w:r w:rsidR="00047B4B">
        <w:t xml:space="preserve"> A CÍLE</w:t>
      </w:r>
      <w:bookmarkEnd w:id="2"/>
    </w:p>
    <w:p w:rsidR="00D5450D" w:rsidRDefault="00D5450D" w:rsidP="005D5C8D">
      <w:pPr>
        <w:jc w:val="left"/>
        <w:rPr>
          <w:b/>
          <w:color w:val="FF0000"/>
        </w:rPr>
      </w:pPr>
    </w:p>
    <w:p w:rsidR="00DE0F44" w:rsidRDefault="00DE0F44" w:rsidP="004A6DF7">
      <w:pPr>
        <w:rPr>
          <w:rFonts w:cs="Arial"/>
          <w:szCs w:val="14"/>
        </w:rPr>
      </w:pPr>
      <w:r w:rsidRPr="00111515">
        <w:rPr>
          <w:rFonts w:cs="Arial"/>
          <w:szCs w:val="14"/>
        </w:rPr>
        <w:t xml:space="preserve">Společnost AUGUR Consulting s.r.o. </w:t>
      </w:r>
      <w:r>
        <w:rPr>
          <w:rFonts w:cs="Arial"/>
          <w:szCs w:val="14"/>
        </w:rPr>
        <w:t>předkládá</w:t>
      </w:r>
      <w:r w:rsidRPr="00111515">
        <w:rPr>
          <w:rFonts w:cs="Arial"/>
          <w:szCs w:val="14"/>
        </w:rPr>
        <w:t xml:space="preserve"> závěrečnou zprávu </w:t>
      </w:r>
      <w:r w:rsidR="005C5EA3">
        <w:rPr>
          <w:rFonts w:cs="Arial"/>
          <w:szCs w:val="14"/>
        </w:rPr>
        <w:t xml:space="preserve">analýz, které </w:t>
      </w:r>
      <w:r w:rsidR="006F2808">
        <w:rPr>
          <w:rFonts w:cs="Arial"/>
          <w:szCs w:val="14"/>
        </w:rPr>
        <w:t xml:space="preserve">se stanou </w:t>
      </w:r>
      <w:r w:rsidR="005C5EA3">
        <w:rPr>
          <w:rFonts w:cs="Arial"/>
          <w:szCs w:val="14"/>
        </w:rPr>
        <w:t xml:space="preserve">podkladem </w:t>
      </w:r>
      <w:r>
        <w:rPr>
          <w:rFonts w:cs="Arial"/>
          <w:szCs w:val="14"/>
        </w:rPr>
        <w:t xml:space="preserve">pro „Střednědobý plán rozvoje sociálních služeb ve městě Velké Meziříčí“. </w:t>
      </w:r>
      <w:r w:rsidR="00AE415A" w:rsidRPr="00AE415A">
        <w:rPr>
          <w:rFonts w:cs="Arial"/>
          <w:szCs w:val="14"/>
        </w:rPr>
        <w:t xml:space="preserve">Střednědobý plán rozvoje sociálních služeb </w:t>
      </w:r>
      <w:r w:rsidR="006F2808">
        <w:rPr>
          <w:rFonts w:cs="Arial"/>
          <w:szCs w:val="14"/>
        </w:rPr>
        <w:t>bude</w:t>
      </w:r>
      <w:r w:rsidR="00AE415A" w:rsidRPr="00AE415A">
        <w:rPr>
          <w:rFonts w:cs="Arial"/>
          <w:szCs w:val="14"/>
        </w:rPr>
        <w:t xml:space="preserve"> výstupem </w:t>
      </w:r>
      <w:r w:rsidR="006F2808">
        <w:rPr>
          <w:rFonts w:cs="Arial"/>
          <w:szCs w:val="14"/>
        </w:rPr>
        <w:t xml:space="preserve">a strategickým dokumentem </w:t>
      </w:r>
      <w:r w:rsidR="00AE415A" w:rsidRPr="00AE415A">
        <w:rPr>
          <w:rFonts w:cs="Arial"/>
          <w:szCs w:val="14"/>
        </w:rPr>
        <w:t>komunit</w:t>
      </w:r>
      <w:r w:rsidR="00511332">
        <w:rPr>
          <w:rFonts w:cs="Arial"/>
          <w:szCs w:val="14"/>
        </w:rPr>
        <w:t xml:space="preserve">ního plánování </w:t>
      </w:r>
      <w:r w:rsidR="006F2808">
        <w:rPr>
          <w:rFonts w:cs="Arial"/>
          <w:szCs w:val="14"/>
        </w:rPr>
        <w:t xml:space="preserve">sociálních služeb </w:t>
      </w:r>
      <w:r w:rsidR="00511332">
        <w:rPr>
          <w:rFonts w:cs="Arial"/>
          <w:szCs w:val="14"/>
        </w:rPr>
        <w:t>na místní úrovni</w:t>
      </w:r>
      <w:r w:rsidR="006F2808">
        <w:rPr>
          <w:rFonts w:cs="Arial"/>
          <w:szCs w:val="14"/>
        </w:rPr>
        <w:t xml:space="preserve"> ve Velkém Meziříčí</w:t>
      </w:r>
      <w:r w:rsidR="00511332">
        <w:rPr>
          <w:rFonts w:cs="Arial"/>
          <w:szCs w:val="14"/>
        </w:rPr>
        <w:t xml:space="preserve">. </w:t>
      </w:r>
    </w:p>
    <w:p w:rsidR="003829D1" w:rsidRDefault="003829D1" w:rsidP="004A6DF7">
      <w:pPr>
        <w:tabs>
          <w:tab w:val="left" w:pos="4755"/>
        </w:tabs>
        <w:rPr>
          <w:rFonts w:cs="Arial"/>
          <w:szCs w:val="14"/>
        </w:rPr>
      </w:pPr>
      <w:r>
        <w:rPr>
          <w:rFonts w:cs="Arial"/>
          <w:szCs w:val="14"/>
        </w:rPr>
        <w:t>Cílem projektu bylo provedení odborných analýz. Při zpracování analýz byla využita metoda integrovaného přístupu. To znamená, že při analýz</w:t>
      </w:r>
      <w:r w:rsidR="00ED6847">
        <w:rPr>
          <w:rFonts w:cs="Arial"/>
          <w:szCs w:val="14"/>
        </w:rPr>
        <w:t>ách</w:t>
      </w:r>
      <w:r>
        <w:rPr>
          <w:rFonts w:cs="Arial"/>
          <w:szCs w:val="14"/>
        </w:rPr>
        <w:t xml:space="preserve"> byla zohledněna data primárního i sekundárního charakteru</w:t>
      </w:r>
      <w:r w:rsidR="006F2808">
        <w:rPr>
          <w:rFonts w:cs="Arial"/>
          <w:szCs w:val="14"/>
        </w:rPr>
        <w:t>, byly použity kvantitativní i kvalitativní přístupy.</w:t>
      </w:r>
      <w:r>
        <w:rPr>
          <w:rFonts w:cs="Arial"/>
          <w:szCs w:val="14"/>
        </w:rPr>
        <w:t xml:space="preserve"> </w:t>
      </w:r>
    </w:p>
    <w:p w:rsidR="00047B4B" w:rsidRDefault="00863B5D" w:rsidP="004A6DF7">
      <w:pPr>
        <w:rPr>
          <w:rFonts w:cs="Arial"/>
          <w:szCs w:val="14"/>
        </w:rPr>
      </w:pPr>
      <w:r>
        <w:rPr>
          <w:rFonts w:cs="Arial"/>
          <w:szCs w:val="14"/>
        </w:rPr>
        <w:t>Výstupem projektu je t</w:t>
      </w:r>
      <w:r w:rsidR="00047B4B">
        <w:rPr>
          <w:rFonts w:cs="Arial"/>
          <w:szCs w:val="14"/>
        </w:rPr>
        <w:t>ato závěrečná zpráva</w:t>
      </w:r>
      <w:r>
        <w:rPr>
          <w:rFonts w:cs="Arial"/>
          <w:szCs w:val="14"/>
        </w:rPr>
        <w:t>, která</w:t>
      </w:r>
      <w:r w:rsidR="00047B4B">
        <w:rPr>
          <w:rFonts w:cs="Arial"/>
          <w:szCs w:val="14"/>
        </w:rPr>
        <w:t xml:space="preserve"> byla vypracována jako relevantní dokument týkající se potřebnosti sociálních služeb ve městě Velké Meziříčí a může sloužit </w:t>
      </w:r>
      <w:r w:rsidR="006F2808">
        <w:rPr>
          <w:rFonts w:cs="Arial"/>
          <w:szCs w:val="14"/>
        </w:rPr>
        <w:t xml:space="preserve">také </w:t>
      </w:r>
      <w:r w:rsidR="00047B4B">
        <w:rPr>
          <w:rFonts w:cs="Arial"/>
          <w:szCs w:val="14"/>
        </w:rPr>
        <w:t xml:space="preserve">jako podklad pro </w:t>
      </w:r>
      <w:r w:rsidR="006F2808">
        <w:rPr>
          <w:rFonts w:cs="Arial"/>
          <w:szCs w:val="14"/>
        </w:rPr>
        <w:t>přerozdělování finančních prostředků do</w:t>
      </w:r>
      <w:r w:rsidR="00047B4B">
        <w:rPr>
          <w:rFonts w:cs="Arial"/>
          <w:szCs w:val="14"/>
        </w:rPr>
        <w:t xml:space="preserve"> </w:t>
      </w:r>
      <w:r w:rsidR="005C5EA3">
        <w:rPr>
          <w:rFonts w:cs="Arial"/>
          <w:szCs w:val="14"/>
        </w:rPr>
        <w:t>sociální</w:t>
      </w:r>
      <w:r w:rsidR="006F2808">
        <w:rPr>
          <w:rFonts w:cs="Arial"/>
          <w:szCs w:val="14"/>
        </w:rPr>
        <w:t xml:space="preserve"> oblasti</w:t>
      </w:r>
      <w:r w:rsidR="00047B4B">
        <w:rPr>
          <w:rFonts w:cs="Arial"/>
          <w:szCs w:val="14"/>
        </w:rPr>
        <w:t xml:space="preserve"> </w:t>
      </w:r>
      <w:r w:rsidR="00ED6847">
        <w:rPr>
          <w:rFonts w:cs="Arial"/>
          <w:szCs w:val="14"/>
        </w:rPr>
        <w:t xml:space="preserve">mj. i </w:t>
      </w:r>
      <w:r w:rsidR="00047B4B">
        <w:rPr>
          <w:rFonts w:cs="Arial"/>
          <w:szCs w:val="14"/>
        </w:rPr>
        <w:t xml:space="preserve">krajem Vysočina od 1. 1. 2015. </w:t>
      </w:r>
    </w:p>
    <w:p w:rsidR="00DE0F44" w:rsidRDefault="00DE0F44" w:rsidP="004A6DF7">
      <w:pPr>
        <w:rPr>
          <w:rFonts w:cs="Arial"/>
          <w:szCs w:val="14"/>
        </w:rPr>
      </w:pPr>
      <w:r w:rsidRPr="00111515">
        <w:rPr>
          <w:rFonts w:cs="Arial"/>
          <w:szCs w:val="14"/>
        </w:rPr>
        <w:t>Závěrečná zpráva a způsob prezentace výsledků zohledňují především její určení. Výsledky jsou uváděny v přehledné podobě grafů, tabulek a komentářů tak, aby jednotlivá zjištění mohl zadavatel flexibilně využívat pro svou práci a aktivity.</w:t>
      </w:r>
    </w:p>
    <w:p w:rsidR="003829D1" w:rsidRDefault="00AB5A19" w:rsidP="004A6DF7">
      <w:pPr>
        <w:rPr>
          <w:rFonts w:cs="Arial"/>
        </w:rPr>
      </w:pPr>
      <w:r w:rsidRPr="00C954D3">
        <w:rPr>
          <w:rFonts w:cs="Arial"/>
        </w:rPr>
        <w:t xml:space="preserve">Celý projekt byl realizován v </w:t>
      </w:r>
      <w:r w:rsidRPr="004E2EB0">
        <w:rPr>
          <w:rFonts w:cs="Arial"/>
        </w:rPr>
        <w:t xml:space="preserve">období od </w:t>
      </w:r>
      <w:r w:rsidR="004E2EB0" w:rsidRPr="004E2EB0">
        <w:rPr>
          <w:rFonts w:cs="Arial"/>
        </w:rPr>
        <w:t xml:space="preserve">26. 8. 2013 </w:t>
      </w:r>
      <w:r w:rsidRPr="004E2EB0">
        <w:rPr>
          <w:rFonts w:cs="Arial"/>
        </w:rPr>
        <w:t>do</w:t>
      </w:r>
      <w:r w:rsidRPr="00C954D3">
        <w:rPr>
          <w:rFonts w:cs="Arial"/>
        </w:rPr>
        <w:t xml:space="preserve"> </w:t>
      </w:r>
      <w:r w:rsidR="004E2EB0">
        <w:rPr>
          <w:rFonts w:cs="Arial"/>
        </w:rPr>
        <w:t>15. 9. 2013</w:t>
      </w:r>
      <w:r w:rsidRPr="00C954D3">
        <w:rPr>
          <w:rFonts w:cs="Arial"/>
        </w:rPr>
        <w:t xml:space="preserve">. </w:t>
      </w:r>
    </w:p>
    <w:p w:rsidR="00AB5A19" w:rsidRDefault="00AB5A19" w:rsidP="004A6DF7">
      <w:pPr>
        <w:rPr>
          <w:rFonts w:cs="Arial"/>
        </w:rPr>
      </w:pPr>
      <w:r w:rsidRPr="00C954D3">
        <w:rPr>
          <w:rFonts w:cs="Arial"/>
        </w:rPr>
        <w:t>Realizační tým odborníků na sociologii, sociální práci,</w:t>
      </w:r>
      <w:r w:rsidR="00E73AAA">
        <w:rPr>
          <w:rFonts w:cs="Arial"/>
        </w:rPr>
        <w:t xml:space="preserve"> sociální politiku, marketing a </w:t>
      </w:r>
      <w:r w:rsidRPr="00C954D3">
        <w:rPr>
          <w:rFonts w:cs="Arial"/>
        </w:rPr>
        <w:t>ekonomii doplňovali při administraci a souvisejících činnostech další pracovníci společnosti AUGUR Consulting s.r.o., která poskytuje profesionální služby od roku 1996.</w:t>
      </w:r>
      <w:r w:rsidR="003829D1">
        <w:rPr>
          <w:rFonts w:cs="Arial"/>
        </w:rPr>
        <w:t xml:space="preserve"> </w:t>
      </w:r>
    </w:p>
    <w:p w:rsidR="003829D1" w:rsidRDefault="003829D1" w:rsidP="004A6DF7">
      <w:pPr>
        <w:rPr>
          <w:rFonts w:cs="Arial"/>
        </w:rPr>
      </w:pPr>
      <w:r w:rsidRPr="003829D1">
        <w:rPr>
          <w:rFonts w:cs="Arial"/>
        </w:rPr>
        <w:t xml:space="preserve">AUGUR Consulting s.r.o. si dovoluje vyjádřit poděkování </w:t>
      </w:r>
      <w:r w:rsidR="00B146C3">
        <w:rPr>
          <w:rFonts w:cs="Arial"/>
        </w:rPr>
        <w:t xml:space="preserve">představitelům </w:t>
      </w:r>
      <w:r w:rsidR="00AF6C58">
        <w:rPr>
          <w:rFonts w:cs="Arial"/>
        </w:rPr>
        <w:t>m</w:t>
      </w:r>
      <w:r w:rsidR="006F2808">
        <w:rPr>
          <w:rFonts w:cs="Arial"/>
        </w:rPr>
        <w:t xml:space="preserve">ěsta Velké meziříčí, </w:t>
      </w:r>
      <w:r w:rsidR="00B146C3">
        <w:rPr>
          <w:rFonts w:cs="Arial"/>
        </w:rPr>
        <w:t xml:space="preserve">ředitelce </w:t>
      </w:r>
      <w:r w:rsidR="00B146C3" w:rsidRPr="00DD261D">
        <w:rPr>
          <w:rFonts w:cs="Arial"/>
        </w:rPr>
        <w:t>Sociální</w:t>
      </w:r>
      <w:r w:rsidR="00B146C3">
        <w:rPr>
          <w:rFonts w:cs="Arial"/>
        </w:rPr>
        <w:t>ch</w:t>
      </w:r>
      <w:r w:rsidR="00B146C3" w:rsidRPr="00DD261D">
        <w:rPr>
          <w:rFonts w:cs="Arial"/>
        </w:rPr>
        <w:t xml:space="preserve"> služ</w:t>
      </w:r>
      <w:r w:rsidR="00B146C3">
        <w:rPr>
          <w:rFonts w:cs="Arial"/>
        </w:rPr>
        <w:t>e</w:t>
      </w:r>
      <w:r w:rsidR="00B146C3" w:rsidRPr="00DD261D">
        <w:rPr>
          <w:rFonts w:cs="Arial"/>
        </w:rPr>
        <w:t>b města Velké Meziříčí</w:t>
      </w:r>
      <w:r w:rsidR="00B146C3">
        <w:rPr>
          <w:rFonts w:cs="Arial"/>
        </w:rPr>
        <w:t xml:space="preserve">, </w:t>
      </w:r>
      <w:r w:rsidR="006F2808">
        <w:rPr>
          <w:rFonts w:cs="Arial"/>
        </w:rPr>
        <w:t xml:space="preserve">zástupcům poskytovatelů registrovaných </w:t>
      </w:r>
      <w:r w:rsidRPr="003829D1">
        <w:rPr>
          <w:rFonts w:cs="Arial"/>
        </w:rPr>
        <w:t xml:space="preserve">sociálních služeb tzv. komunikačním partnerům, zástupcům </w:t>
      </w:r>
      <w:r w:rsidR="004E2EB0">
        <w:rPr>
          <w:rFonts w:cs="Arial"/>
        </w:rPr>
        <w:t>ú</w:t>
      </w:r>
      <w:r w:rsidRPr="003829D1">
        <w:rPr>
          <w:rFonts w:cs="Arial"/>
        </w:rPr>
        <w:t>řadů pr</w:t>
      </w:r>
      <w:r>
        <w:rPr>
          <w:rFonts w:cs="Arial"/>
        </w:rPr>
        <w:t>áce</w:t>
      </w:r>
      <w:r w:rsidR="006F2808">
        <w:rPr>
          <w:rFonts w:cs="Arial"/>
        </w:rPr>
        <w:t xml:space="preserve"> </w:t>
      </w:r>
      <w:r w:rsidRPr="003829D1">
        <w:rPr>
          <w:rFonts w:cs="Arial"/>
        </w:rPr>
        <w:t xml:space="preserve">a všem </w:t>
      </w:r>
      <w:r w:rsidR="00E73AAA">
        <w:rPr>
          <w:rFonts w:cs="Arial"/>
        </w:rPr>
        <w:t>dalším spolupracujícím osobám a </w:t>
      </w:r>
      <w:r w:rsidRPr="003829D1">
        <w:rPr>
          <w:rFonts w:cs="Arial"/>
        </w:rPr>
        <w:t>institucím za vstřícný přístup při naplňování předmětu a cílů tohoto projektu.</w:t>
      </w:r>
      <w:r>
        <w:rPr>
          <w:rFonts w:cs="Arial"/>
        </w:rPr>
        <w:t xml:space="preserve"> </w:t>
      </w:r>
    </w:p>
    <w:p w:rsidR="00DE0F44" w:rsidRDefault="00DE0F44" w:rsidP="004A6DF7">
      <w:pPr>
        <w:rPr>
          <w:rFonts w:cs="Arial"/>
          <w:szCs w:val="14"/>
        </w:rPr>
      </w:pPr>
    </w:p>
    <w:p w:rsidR="00DE0F44" w:rsidRDefault="00DE0F44" w:rsidP="004A6DF7">
      <w:pPr>
        <w:pStyle w:val="Zkladntext3"/>
        <w:spacing w:line="240" w:lineRule="auto"/>
        <w:rPr>
          <w:rFonts w:ascii="Arial" w:hAnsi="Arial" w:cs="Arial"/>
          <w:szCs w:val="14"/>
        </w:rPr>
      </w:pPr>
      <w:r w:rsidRPr="00111515">
        <w:rPr>
          <w:rFonts w:ascii="Arial" w:hAnsi="Arial" w:cs="Arial"/>
          <w:szCs w:val="14"/>
        </w:rPr>
        <w:t xml:space="preserve">Za </w:t>
      </w:r>
      <w:r w:rsidR="00630317">
        <w:rPr>
          <w:rFonts w:ascii="Arial" w:hAnsi="Arial" w:cs="Arial"/>
          <w:szCs w:val="14"/>
        </w:rPr>
        <w:t xml:space="preserve">řešitelský tým </w:t>
      </w:r>
      <w:r w:rsidRPr="00111515">
        <w:rPr>
          <w:rFonts w:ascii="Arial" w:hAnsi="Arial" w:cs="Arial"/>
          <w:szCs w:val="14"/>
        </w:rPr>
        <w:t>AUGUR Consulting s.r.o.</w:t>
      </w:r>
    </w:p>
    <w:p w:rsidR="00630317" w:rsidRDefault="00630317" w:rsidP="00DE0F44">
      <w:pPr>
        <w:pStyle w:val="Zkladntext3"/>
        <w:spacing w:line="240" w:lineRule="auto"/>
        <w:rPr>
          <w:rFonts w:ascii="Arial" w:hAnsi="Arial" w:cs="Arial"/>
          <w:szCs w:val="14"/>
        </w:rPr>
      </w:pPr>
    </w:p>
    <w:p w:rsidR="00630317" w:rsidRPr="009C16F1" w:rsidRDefault="00630317" w:rsidP="00DE0F44">
      <w:pPr>
        <w:pStyle w:val="Zkladntext3"/>
        <w:spacing w:line="240" w:lineRule="auto"/>
        <w:rPr>
          <w:rFonts w:ascii="Arial" w:hAnsi="Arial" w:cs="Arial"/>
          <w:szCs w:val="14"/>
        </w:rPr>
      </w:pPr>
    </w:p>
    <w:p w:rsidR="00DE0F44" w:rsidRDefault="00DE0F44" w:rsidP="00DE0F44">
      <w:pPr>
        <w:rPr>
          <w:rFonts w:cs="Arial"/>
          <w:vanish/>
          <w:szCs w:val="14"/>
        </w:rPr>
      </w:pPr>
    </w:p>
    <w:p w:rsidR="00DE0F44" w:rsidRDefault="00DE0F44" w:rsidP="00DE0F44">
      <w:pPr>
        <w:rPr>
          <w:rFonts w:cs="Arial"/>
          <w:vanish/>
          <w:szCs w:val="14"/>
        </w:rPr>
      </w:pPr>
    </w:p>
    <w:p w:rsidR="00630317" w:rsidRDefault="00DE0F44" w:rsidP="00DE0F44">
      <w:pPr>
        <w:rPr>
          <w:rFonts w:cs="Arial"/>
          <w:szCs w:val="14"/>
        </w:rPr>
      </w:pPr>
      <w:r w:rsidRPr="00111515">
        <w:rPr>
          <w:rFonts w:cs="Arial"/>
          <w:szCs w:val="14"/>
        </w:rPr>
        <w:tab/>
      </w:r>
      <w:r w:rsidRPr="00111515">
        <w:rPr>
          <w:rFonts w:cs="Arial"/>
          <w:szCs w:val="14"/>
        </w:rPr>
        <w:tab/>
      </w:r>
      <w:r w:rsidRPr="00111515">
        <w:rPr>
          <w:rFonts w:cs="Arial"/>
          <w:szCs w:val="14"/>
        </w:rPr>
        <w:tab/>
      </w:r>
      <w:r w:rsidRPr="00111515">
        <w:rPr>
          <w:rFonts w:cs="Arial"/>
          <w:szCs w:val="14"/>
        </w:rPr>
        <w:tab/>
      </w:r>
      <w:r w:rsidRPr="00111515">
        <w:rPr>
          <w:rFonts w:cs="Arial"/>
          <w:szCs w:val="14"/>
        </w:rPr>
        <w:tab/>
      </w:r>
      <w:r>
        <w:rPr>
          <w:rFonts w:cs="Arial"/>
          <w:szCs w:val="14"/>
        </w:rPr>
        <w:tab/>
      </w:r>
      <w:r>
        <w:rPr>
          <w:rFonts w:cs="Arial"/>
          <w:szCs w:val="14"/>
        </w:rPr>
        <w:tab/>
      </w:r>
    </w:p>
    <w:p w:rsidR="00DE0F44" w:rsidRDefault="00DE0F44" w:rsidP="004A6DF7">
      <w:pPr>
        <w:ind w:left="4248" w:firstLine="708"/>
        <w:rPr>
          <w:rFonts w:cs="Arial"/>
          <w:szCs w:val="14"/>
        </w:rPr>
      </w:pPr>
      <w:r w:rsidRPr="00111515">
        <w:rPr>
          <w:rFonts w:cs="Arial"/>
          <w:szCs w:val="14"/>
        </w:rPr>
        <w:t>Mgr. Marián Svoboda</w:t>
      </w:r>
    </w:p>
    <w:p w:rsidR="00DE0F44" w:rsidRDefault="004A6DF7" w:rsidP="004A6DF7">
      <w:pPr>
        <w:ind w:left="3540"/>
        <w:rPr>
          <w:rFonts w:ascii="Arial Unicode MS" w:hAnsi="Arial Unicode MS" w:cs="Arial Unicode MS"/>
          <w:vanish/>
        </w:rPr>
      </w:pPr>
      <w:r>
        <w:rPr>
          <w:rFonts w:cs="Arial"/>
          <w:szCs w:val="14"/>
        </w:rPr>
        <w:t xml:space="preserve">   </w:t>
      </w:r>
      <w:r w:rsidR="00DE0F44" w:rsidRPr="00111515">
        <w:rPr>
          <w:rFonts w:cs="Arial"/>
          <w:szCs w:val="14"/>
        </w:rPr>
        <w:t>ředitel společnosti</w:t>
      </w:r>
      <w:r w:rsidR="00630317">
        <w:rPr>
          <w:rFonts w:cs="Arial"/>
          <w:szCs w:val="14"/>
        </w:rPr>
        <w:t xml:space="preserve"> AUGUR Consulting s.r.o.</w:t>
      </w:r>
      <w:r>
        <w:rPr>
          <w:rFonts w:cs="Arial"/>
          <w:szCs w:val="14"/>
        </w:rPr>
        <w:t xml:space="preserve"> </w:t>
      </w:r>
    </w:p>
    <w:p w:rsidR="00DE0F44" w:rsidRDefault="00DE0F44" w:rsidP="00DE0F44">
      <w:pPr>
        <w:rPr>
          <w:rFonts w:ascii="Arial Narrow" w:hAnsi="Arial Narrow"/>
        </w:rPr>
      </w:pPr>
    </w:p>
    <w:p w:rsidR="001A78C5" w:rsidRDefault="001A78C5">
      <w:pPr>
        <w:spacing w:before="0" w:after="200" w:line="276" w:lineRule="auto"/>
        <w:jc w:val="left"/>
        <w:rPr>
          <w:b/>
          <w:color w:val="FF0000"/>
        </w:rPr>
      </w:pPr>
      <w:r>
        <w:rPr>
          <w:b/>
          <w:color w:val="FF0000"/>
        </w:rPr>
        <w:br w:type="page"/>
      </w:r>
    </w:p>
    <w:p w:rsidR="00DE0F44" w:rsidRDefault="001A78C5" w:rsidP="007D3210">
      <w:pPr>
        <w:pStyle w:val="Nadpis1"/>
        <w:numPr>
          <w:ilvl w:val="0"/>
          <w:numId w:val="0"/>
        </w:numPr>
        <w:ind w:left="426"/>
      </w:pPr>
      <w:bookmarkStart w:id="3" w:name="_Toc367278133"/>
      <w:r>
        <w:lastRenderedPageBreak/>
        <w:t>KONTEXT</w:t>
      </w:r>
      <w:bookmarkEnd w:id="3"/>
    </w:p>
    <w:p w:rsidR="007D3210" w:rsidRPr="007D3210" w:rsidRDefault="007D3210" w:rsidP="007D3210"/>
    <w:p w:rsidR="001A78C5" w:rsidRDefault="006F2808" w:rsidP="004618F6">
      <w:r>
        <w:t>P</w:t>
      </w:r>
      <w:r w:rsidR="001A78C5">
        <w:t xml:space="preserve">ři definování sítě sociálních služeb </w:t>
      </w:r>
      <w:r>
        <w:t xml:space="preserve">v lokálním měřítku </w:t>
      </w:r>
      <w:r w:rsidR="001A78C5">
        <w:t xml:space="preserve">s přesahem do jejich efektivního financování </w:t>
      </w:r>
      <w:r>
        <w:t xml:space="preserve">by se mělo vycházet </w:t>
      </w:r>
      <w:r w:rsidR="001A78C5">
        <w:t xml:space="preserve">z procesů komunitního plánování sociálních služeb, všech stávajících přijatých dokumentů </w:t>
      </w:r>
      <w:r w:rsidR="001A78C5" w:rsidRPr="00A44453">
        <w:t>kraje Vysočina</w:t>
      </w:r>
      <w:r w:rsidR="004E2EB0">
        <w:t xml:space="preserve"> </w:t>
      </w:r>
      <w:r w:rsidR="001A78C5">
        <w:t xml:space="preserve">a názorů všech relevantních aktérů </w:t>
      </w:r>
      <w:r>
        <w:t>a partnerů v sociální oblasti</w:t>
      </w:r>
      <w:r w:rsidR="001A78C5">
        <w:t>. Současně by</w:t>
      </w:r>
      <w:r w:rsidR="00030526">
        <w:t xml:space="preserve"> měly být</w:t>
      </w:r>
      <w:r w:rsidR="001A78C5">
        <w:t xml:space="preserve"> zohledněny všechny významné trendy </w:t>
      </w:r>
      <w:r w:rsidR="00030526">
        <w:t xml:space="preserve">u </w:t>
      </w:r>
      <w:r w:rsidR="00C43824">
        <w:t xml:space="preserve">jednotlivých cílových skupin uživatelů </w:t>
      </w:r>
      <w:r w:rsidR="00030526">
        <w:t xml:space="preserve">sociálních </w:t>
      </w:r>
      <w:r w:rsidR="00C43824">
        <w:t xml:space="preserve">služeb, např. demografický vývoj, stárnutí populace, ale také </w:t>
      </w:r>
      <w:r w:rsidR="00030526">
        <w:t>další</w:t>
      </w:r>
      <w:r w:rsidR="00C43824">
        <w:t xml:space="preserve"> informace</w:t>
      </w:r>
      <w:r w:rsidR="00030526">
        <w:t xml:space="preserve"> a data z jednotlivých analýz</w:t>
      </w:r>
      <w:r w:rsidR="00C43824">
        <w:t xml:space="preserve">. </w:t>
      </w:r>
    </w:p>
    <w:p w:rsidR="00C43824" w:rsidRDefault="00C43824" w:rsidP="004618F6">
      <w:r>
        <w:t xml:space="preserve">Síťování sociálních služeb v lokální úrovni a optimalizace sítě služeb </w:t>
      </w:r>
      <w:r w:rsidR="00A44453">
        <w:t>by měla vycházet</w:t>
      </w:r>
      <w:r>
        <w:t xml:space="preserve"> z níže uvedených parametrů. </w:t>
      </w:r>
    </w:p>
    <w:p w:rsidR="00030526" w:rsidRDefault="00030526" w:rsidP="004618F6"/>
    <w:p w:rsidR="00C43824" w:rsidRDefault="00C43824" w:rsidP="004618F6">
      <w:pPr>
        <w:pStyle w:val="Odstavecseseznamem"/>
        <w:numPr>
          <w:ilvl w:val="0"/>
          <w:numId w:val="1"/>
        </w:numPr>
      </w:pPr>
      <w:r>
        <w:t>PARAMETR POTŘEBNOSTI A GARANCE MINIMÁLNÍ SÍTĚ SOCIÁLNÍCH SLUŽEB</w:t>
      </w:r>
      <w:r w:rsidR="007D3210">
        <w:t>.</w:t>
      </w:r>
    </w:p>
    <w:p w:rsidR="00C43824" w:rsidRDefault="00C43824" w:rsidP="004618F6">
      <w:pPr>
        <w:pStyle w:val="Odstavecseseznamem"/>
        <w:numPr>
          <w:ilvl w:val="0"/>
          <w:numId w:val="1"/>
        </w:numPr>
      </w:pPr>
      <w:r>
        <w:t>PARAMETR DOSTUPNOSTI sociálních služeb</w:t>
      </w:r>
      <w:r w:rsidR="007D3210">
        <w:t>.</w:t>
      </w:r>
    </w:p>
    <w:p w:rsidR="00C43824" w:rsidRDefault="00C43824" w:rsidP="004618F6">
      <w:pPr>
        <w:pStyle w:val="Odstavecseseznamem"/>
        <w:numPr>
          <w:ilvl w:val="0"/>
          <w:numId w:val="1"/>
        </w:numPr>
      </w:pPr>
      <w:r>
        <w:t>PARAMETR NÁKLADOVOSTI sociálních služeb</w:t>
      </w:r>
      <w:r w:rsidR="007D3210">
        <w:t>.</w:t>
      </w:r>
    </w:p>
    <w:p w:rsidR="00C43824" w:rsidRDefault="00C43824" w:rsidP="004618F6">
      <w:pPr>
        <w:pStyle w:val="Odstavecseseznamem"/>
        <w:numPr>
          <w:ilvl w:val="0"/>
          <w:numId w:val="1"/>
        </w:numPr>
      </w:pPr>
      <w:r>
        <w:t>PARAMETR KVALITY sociálních služeb</w:t>
      </w:r>
      <w:r w:rsidR="007D3210">
        <w:t>.</w:t>
      </w:r>
    </w:p>
    <w:p w:rsidR="007D3210" w:rsidRDefault="00C43824" w:rsidP="00030526">
      <w:pPr>
        <w:pStyle w:val="Odstavecseseznamem"/>
        <w:numPr>
          <w:ilvl w:val="0"/>
          <w:numId w:val="1"/>
        </w:numPr>
      </w:pPr>
      <w:r>
        <w:t>PARAMETR PROVÁZANOSTI sociálních služeb</w:t>
      </w:r>
      <w:r w:rsidR="007D3210">
        <w:t>.</w:t>
      </w:r>
    </w:p>
    <w:p w:rsidR="00030526" w:rsidRDefault="00030526" w:rsidP="004618F6"/>
    <w:p w:rsidR="00AE2079" w:rsidRDefault="00AE2079" w:rsidP="004618F6">
      <w:r>
        <w:t>Sí</w:t>
      </w:r>
      <w:r w:rsidR="00263158">
        <w:t>ť sociálních služeb města Velké Meziříčí by měla zohledňovat nejen výše uvedené základní parametry, ale také moderní principy sociální politiky, formy pomoci a</w:t>
      </w:r>
      <w:r w:rsidR="004E2EB0">
        <w:t> </w:t>
      </w:r>
      <w:r w:rsidR="00263158">
        <w:t>poskytování služeb pokud možno v přirozeném prostř</w:t>
      </w:r>
      <w:r w:rsidR="004E2EB0">
        <w:t>edí za aktivní účasti klienta a </w:t>
      </w:r>
      <w:r w:rsidR="00263158">
        <w:t xml:space="preserve">jeho rodinných příslušníků a s možností adekvátní nabídky sociálních služeb tam, kde pomoc v přirozeném prostředí není z objektivních důvodů </w:t>
      </w:r>
      <w:r w:rsidR="00A70F23">
        <w:t>možná, nebo</w:t>
      </w:r>
      <w:r w:rsidR="00263158">
        <w:t xml:space="preserve"> rodinní příslušní nejsou schopni beze zbytku zajistit adekvátní péči vlastním úsilím. </w:t>
      </w:r>
    </w:p>
    <w:p w:rsidR="009E33EE" w:rsidRDefault="009E33EE" w:rsidP="007D3210">
      <w:pPr>
        <w:pStyle w:val="Nadpis1"/>
        <w:numPr>
          <w:ilvl w:val="0"/>
          <w:numId w:val="0"/>
        </w:numPr>
        <w:ind w:left="426"/>
      </w:pPr>
      <w:bookmarkStart w:id="4" w:name="_Toc367278134"/>
      <w:r>
        <w:t>CÍLOVÉ SKUPINY UŽIVATELŮ SOCIÁLNÍCH SLUŽEB</w:t>
      </w:r>
      <w:bookmarkEnd w:id="4"/>
    </w:p>
    <w:p w:rsidR="007D3210" w:rsidRPr="007D3210" w:rsidRDefault="007D3210" w:rsidP="007D3210"/>
    <w:p w:rsidR="00BA6ADB" w:rsidRDefault="00A44453" w:rsidP="004618F6">
      <w:r>
        <w:t>V rámci šetření bylo</w:t>
      </w:r>
      <w:r w:rsidR="00BA6ADB">
        <w:t xml:space="preserve"> </w:t>
      </w:r>
      <w:r>
        <w:t>pracováno s</w:t>
      </w:r>
      <w:r w:rsidR="00030526">
        <w:t xml:space="preserve"> nejpočetnějšími </w:t>
      </w:r>
      <w:r w:rsidR="00BA6ADB">
        <w:t>cílov</w:t>
      </w:r>
      <w:r>
        <w:t>ými</w:t>
      </w:r>
      <w:r w:rsidR="00BA6ADB">
        <w:t xml:space="preserve"> skupin</w:t>
      </w:r>
      <w:r>
        <w:t>ami</w:t>
      </w:r>
      <w:r w:rsidR="00BA6ADB">
        <w:t xml:space="preserve"> uživatelů sociálních služeb. </w:t>
      </w:r>
    </w:p>
    <w:p w:rsidR="00030526" w:rsidRDefault="00030526" w:rsidP="004618F6"/>
    <w:p w:rsidR="009E33EE" w:rsidRPr="00030526" w:rsidRDefault="009E33EE" w:rsidP="004618F6">
      <w:pPr>
        <w:pStyle w:val="Odstavecseseznamem"/>
        <w:numPr>
          <w:ilvl w:val="0"/>
          <w:numId w:val="2"/>
        </w:numPr>
        <w:rPr>
          <w:b/>
        </w:rPr>
      </w:pPr>
      <w:r w:rsidRPr="00030526">
        <w:rPr>
          <w:b/>
        </w:rPr>
        <w:t>Senioři</w:t>
      </w:r>
      <w:r w:rsidR="004E2EB0" w:rsidRPr="00030526">
        <w:rPr>
          <w:b/>
        </w:rPr>
        <w:t>.</w:t>
      </w:r>
    </w:p>
    <w:p w:rsidR="009E33EE" w:rsidRPr="00030526" w:rsidRDefault="009E33EE" w:rsidP="004618F6">
      <w:pPr>
        <w:pStyle w:val="Odstavecseseznamem"/>
        <w:numPr>
          <w:ilvl w:val="0"/>
          <w:numId w:val="2"/>
        </w:numPr>
        <w:rPr>
          <w:b/>
        </w:rPr>
      </w:pPr>
      <w:r w:rsidRPr="00030526">
        <w:rPr>
          <w:b/>
        </w:rPr>
        <w:t>Osoby se zdravotním postižením</w:t>
      </w:r>
      <w:r w:rsidR="004E2EB0" w:rsidRPr="00030526">
        <w:rPr>
          <w:b/>
        </w:rPr>
        <w:t>.</w:t>
      </w:r>
    </w:p>
    <w:p w:rsidR="00030526" w:rsidRDefault="00030526" w:rsidP="00030526">
      <w:pPr>
        <w:pStyle w:val="Odstavecseseznamem"/>
        <w:numPr>
          <w:ilvl w:val="1"/>
          <w:numId w:val="2"/>
        </w:numPr>
      </w:pPr>
      <w:r w:rsidRPr="00030526">
        <w:t>Osoby s tělesným postižením.</w:t>
      </w:r>
    </w:p>
    <w:p w:rsidR="009E33EE" w:rsidRPr="00030526" w:rsidRDefault="009E33EE" w:rsidP="004618F6">
      <w:pPr>
        <w:pStyle w:val="Odstavecseseznamem"/>
        <w:numPr>
          <w:ilvl w:val="1"/>
          <w:numId w:val="2"/>
        </w:numPr>
      </w:pPr>
      <w:r w:rsidRPr="00030526">
        <w:t>Osoby s mentálním a kombinovaným postižením</w:t>
      </w:r>
      <w:r w:rsidR="004E2EB0" w:rsidRPr="00030526">
        <w:t>.</w:t>
      </w:r>
    </w:p>
    <w:p w:rsidR="009E33EE" w:rsidRPr="00030526" w:rsidRDefault="009E33EE" w:rsidP="00030526">
      <w:pPr>
        <w:pStyle w:val="Odstavecseseznamem"/>
        <w:numPr>
          <w:ilvl w:val="1"/>
          <w:numId w:val="2"/>
        </w:numPr>
      </w:pPr>
      <w:r w:rsidRPr="00030526">
        <w:t>Osoby se smyslovým postižením (omezení zraku a sluchu)</w:t>
      </w:r>
      <w:r w:rsidR="004E2EB0" w:rsidRPr="00030526">
        <w:t>.</w:t>
      </w:r>
    </w:p>
    <w:p w:rsidR="00030526" w:rsidRDefault="00030526" w:rsidP="00030526"/>
    <w:p w:rsidR="00030526" w:rsidRPr="00030526" w:rsidRDefault="00030526" w:rsidP="00030526">
      <w:r w:rsidRPr="00030526">
        <w:t>Je však žádoucí, aby s</w:t>
      </w:r>
      <w:r>
        <w:t>e</w:t>
      </w:r>
      <w:r w:rsidRPr="00030526">
        <w:t> v</w:t>
      </w:r>
      <w:r>
        <w:t xml:space="preserve"> nadcházejícím </w:t>
      </w:r>
      <w:r w:rsidRPr="00030526">
        <w:t>období rozsah analýz zaměřil i na další cílové skupiny např.</w:t>
      </w:r>
    </w:p>
    <w:p w:rsidR="00030526" w:rsidRDefault="00030526" w:rsidP="004618F6">
      <w:pPr>
        <w:pStyle w:val="Odstavecseseznamem"/>
        <w:numPr>
          <w:ilvl w:val="0"/>
          <w:numId w:val="2"/>
        </w:numPr>
      </w:pPr>
      <w:r w:rsidRPr="00030526">
        <w:t>Osoby s duševním nebo duševně chronickým onemocněním.</w:t>
      </w:r>
    </w:p>
    <w:p w:rsidR="009E33EE" w:rsidRDefault="009E33EE" w:rsidP="004618F6">
      <w:pPr>
        <w:pStyle w:val="Odstavecseseznamem"/>
        <w:numPr>
          <w:ilvl w:val="0"/>
          <w:numId w:val="2"/>
        </w:numPr>
      </w:pPr>
      <w:r>
        <w:t>Děti, mládež a rodina</w:t>
      </w:r>
      <w:r w:rsidR="004E2EB0">
        <w:t>.</w:t>
      </w:r>
    </w:p>
    <w:p w:rsidR="00A44453" w:rsidRPr="007D3210" w:rsidRDefault="009E33EE" w:rsidP="00667896">
      <w:pPr>
        <w:pStyle w:val="Odstavecseseznamem"/>
        <w:numPr>
          <w:ilvl w:val="0"/>
          <w:numId w:val="2"/>
        </w:numPr>
        <w:spacing w:before="0" w:after="200" w:line="276" w:lineRule="auto"/>
        <w:rPr>
          <w:rFonts w:cs="Arial"/>
        </w:rPr>
      </w:pPr>
      <w:r>
        <w:t>Osoby ohrožené sociálním vyloučením a osoby v</w:t>
      </w:r>
      <w:r w:rsidR="004E2EB0">
        <w:t> </w:t>
      </w:r>
      <w:r>
        <w:t>krizi</w:t>
      </w:r>
      <w:r w:rsidR="004E2EB0">
        <w:t>.</w:t>
      </w:r>
    </w:p>
    <w:p w:rsidR="007D3210" w:rsidRPr="00030526" w:rsidRDefault="00030526" w:rsidP="00030526">
      <w:pPr>
        <w:spacing w:before="0" w:after="200" w:line="276" w:lineRule="auto"/>
        <w:rPr>
          <w:rFonts w:cs="Arial"/>
        </w:rPr>
      </w:pPr>
      <w:r>
        <w:rPr>
          <w:rFonts w:cs="Arial"/>
        </w:rPr>
        <w:lastRenderedPageBreak/>
        <w:t>Tyto analýzy může zabezpečovat externí výzkumná společnost nebo mohou být realizovány v rámci procesu KPSS</w:t>
      </w:r>
      <w:r>
        <w:rPr>
          <w:rStyle w:val="Znakapoznpodarou"/>
          <w:rFonts w:cs="Arial"/>
        </w:rPr>
        <w:footnoteReference w:id="1"/>
      </w:r>
      <w:r>
        <w:rPr>
          <w:rFonts w:cs="Arial"/>
        </w:rPr>
        <w:t xml:space="preserve">. </w:t>
      </w:r>
    </w:p>
    <w:p w:rsidR="00F54AF6" w:rsidRPr="007D3210" w:rsidRDefault="00A44453" w:rsidP="00A44453">
      <w:pPr>
        <w:pBdr>
          <w:top w:val="single" w:sz="4" w:space="1" w:color="auto"/>
          <w:left w:val="single" w:sz="4" w:space="4" w:color="auto"/>
          <w:bottom w:val="single" w:sz="4" w:space="1" w:color="auto"/>
          <w:right w:val="single" w:sz="4" w:space="4" w:color="auto"/>
        </w:pBdr>
        <w:shd w:val="clear" w:color="auto" w:fill="FDE9D9" w:themeFill="accent6" w:themeFillTint="33"/>
        <w:spacing w:before="0" w:after="200" w:line="276" w:lineRule="auto"/>
        <w:rPr>
          <w:rFonts w:cs="Arial"/>
        </w:rPr>
      </w:pPr>
      <w:r w:rsidRPr="007D3210">
        <w:rPr>
          <w:rFonts w:cs="Arial"/>
        </w:rPr>
        <w:t>V rámci projektu byly zpracovány následující analýzy:</w:t>
      </w:r>
    </w:p>
    <w:p w:rsidR="00A44453" w:rsidRPr="00A44453" w:rsidRDefault="00C373FD" w:rsidP="00A44453">
      <w:pPr>
        <w:pBdr>
          <w:top w:val="single" w:sz="4" w:space="1" w:color="auto"/>
          <w:left w:val="single" w:sz="4" w:space="4" w:color="auto"/>
          <w:bottom w:val="single" w:sz="4" w:space="1" w:color="auto"/>
          <w:right w:val="single" w:sz="4" w:space="4" w:color="auto"/>
        </w:pBdr>
        <w:shd w:val="clear" w:color="auto" w:fill="FDE9D9" w:themeFill="accent6" w:themeFillTint="33"/>
        <w:spacing w:before="0" w:after="200" w:line="276" w:lineRule="auto"/>
        <w:rPr>
          <w:rFonts w:cs="Arial"/>
          <w:b/>
        </w:rPr>
      </w:pPr>
      <w:r>
        <w:rPr>
          <w:rFonts w:cs="Arial"/>
          <w:b/>
        </w:rPr>
        <w:t>A) D</w:t>
      </w:r>
      <w:r w:rsidR="00A44453" w:rsidRPr="00A44453">
        <w:rPr>
          <w:rFonts w:cs="Arial"/>
          <w:b/>
        </w:rPr>
        <w:t>emografická analýza</w:t>
      </w:r>
      <w:r>
        <w:rPr>
          <w:rFonts w:cs="Arial"/>
          <w:b/>
        </w:rPr>
        <w:t>.</w:t>
      </w:r>
    </w:p>
    <w:p w:rsidR="00A44453" w:rsidRPr="00A44453" w:rsidRDefault="00C373FD" w:rsidP="00A44453">
      <w:pPr>
        <w:pBdr>
          <w:top w:val="single" w:sz="4" w:space="1" w:color="auto"/>
          <w:left w:val="single" w:sz="4" w:space="4" w:color="auto"/>
          <w:bottom w:val="single" w:sz="4" w:space="1" w:color="auto"/>
          <w:right w:val="single" w:sz="4" w:space="4" w:color="auto"/>
        </w:pBdr>
        <w:shd w:val="clear" w:color="auto" w:fill="FDE9D9" w:themeFill="accent6" w:themeFillTint="33"/>
        <w:spacing w:before="0" w:after="200" w:line="276" w:lineRule="auto"/>
        <w:rPr>
          <w:rFonts w:cs="Arial"/>
          <w:b/>
        </w:rPr>
      </w:pPr>
      <w:r>
        <w:rPr>
          <w:rFonts w:cs="Arial"/>
          <w:b/>
        </w:rPr>
        <w:t>B) A</w:t>
      </w:r>
      <w:r w:rsidR="00A44453" w:rsidRPr="00A44453">
        <w:rPr>
          <w:rFonts w:cs="Arial"/>
          <w:b/>
        </w:rPr>
        <w:t>nalýza poskytovatelů sociálních služeb</w:t>
      </w:r>
      <w:r w:rsidR="00BF5E74">
        <w:rPr>
          <w:rFonts w:cs="Arial"/>
          <w:b/>
        </w:rPr>
        <w:t xml:space="preserve"> působících na území Města</w:t>
      </w:r>
      <w:r>
        <w:rPr>
          <w:rFonts w:cs="Arial"/>
          <w:b/>
        </w:rPr>
        <w:t>.</w:t>
      </w:r>
    </w:p>
    <w:p w:rsidR="00A44453" w:rsidRPr="00A44453" w:rsidRDefault="00A44453" w:rsidP="00A44453">
      <w:pPr>
        <w:pBdr>
          <w:top w:val="single" w:sz="4" w:space="1" w:color="auto"/>
          <w:left w:val="single" w:sz="4" w:space="4" w:color="auto"/>
          <w:bottom w:val="single" w:sz="4" w:space="1" w:color="auto"/>
          <w:right w:val="single" w:sz="4" w:space="4" w:color="auto"/>
        </w:pBdr>
        <w:shd w:val="clear" w:color="auto" w:fill="FDE9D9" w:themeFill="accent6" w:themeFillTint="33"/>
        <w:spacing w:before="0" w:after="200" w:line="276" w:lineRule="auto"/>
        <w:rPr>
          <w:rFonts w:cs="Arial"/>
          <w:b/>
        </w:rPr>
      </w:pPr>
      <w:r w:rsidRPr="00A44453">
        <w:rPr>
          <w:rFonts w:cs="Arial"/>
          <w:b/>
        </w:rPr>
        <w:t>C) Analýza zřizovatel</w:t>
      </w:r>
      <w:r w:rsidR="00BF5E74">
        <w:rPr>
          <w:rFonts w:cs="Arial"/>
          <w:b/>
        </w:rPr>
        <w:t>e</w:t>
      </w:r>
      <w:r w:rsidRPr="00A44453">
        <w:rPr>
          <w:rFonts w:cs="Arial"/>
          <w:b/>
        </w:rPr>
        <w:t xml:space="preserve"> a zadavatel</w:t>
      </w:r>
      <w:r w:rsidR="00BF5E74">
        <w:rPr>
          <w:rFonts w:cs="Arial"/>
          <w:b/>
        </w:rPr>
        <w:t xml:space="preserve">e </w:t>
      </w:r>
      <w:r w:rsidR="00BF5E74" w:rsidRPr="00A44453">
        <w:rPr>
          <w:rFonts w:cs="Arial"/>
          <w:b/>
        </w:rPr>
        <w:t>sociálních služeb</w:t>
      </w:r>
      <w:r w:rsidR="00BF5E74">
        <w:rPr>
          <w:rFonts w:cs="Arial"/>
          <w:b/>
        </w:rPr>
        <w:t xml:space="preserve"> (město Velké meziříčí)</w:t>
      </w:r>
      <w:r w:rsidR="00C373FD">
        <w:rPr>
          <w:rFonts w:cs="Arial"/>
          <w:b/>
        </w:rPr>
        <w:t>.</w:t>
      </w:r>
    </w:p>
    <w:p w:rsidR="00A44453" w:rsidRPr="00A44453" w:rsidRDefault="0023297F" w:rsidP="0023297F">
      <w:pPr>
        <w:pBdr>
          <w:top w:val="single" w:sz="4" w:space="1" w:color="auto"/>
          <w:left w:val="single" w:sz="4" w:space="4" w:color="auto"/>
          <w:bottom w:val="single" w:sz="4" w:space="1" w:color="auto"/>
          <w:right w:val="single" w:sz="4" w:space="4" w:color="auto"/>
        </w:pBdr>
        <w:shd w:val="clear" w:color="auto" w:fill="FDE9D9" w:themeFill="accent6" w:themeFillTint="33"/>
        <w:spacing w:before="0" w:after="200" w:line="276" w:lineRule="auto"/>
        <w:jc w:val="left"/>
        <w:rPr>
          <w:rFonts w:cs="Arial"/>
          <w:b/>
        </w:rPr>
      </w:pPr>
      <w:r>
        <w:rPr>
          <w:rFonts w:cs="Arial"/>
          <w:b/>
        </w:rPr>
        <w:t xml:space="preserve">D) </w:t>
      </w:r>
      <w:r w:rsidR="00A44453" w:rsidRPr="00A44453">
        <w:rPr>
          <w:rFonts w:cs="Arial"/>
          <w:b/>
        </w:rPr>
        <w:t>Analýza cílových skupin uživatelů</w:t>
      </w:r>
      <w:r w:rsidR="00BF5E74">
        <w:rPr>
          <w:rFonts w:cs="Arial"/>
          <w:b/>
        </w:rPr>
        <w:t xml:space="preserve"> (senioři a osoby se zdravotním postižením)</w:t>
      </w:r>
      <w:r w:rsidR="00C373FD">
        <w:rPr>
          <w:rFonts w:cs="Arial"/>
          <w:b/>
        </w:rPr>
        <w:t>.</w:t>
      </w:r>
    </w:p>
    <w:p w:rsidR="00A44453" w:rsidRDefault="00A44453">
      <w:pPr>
        <w:spacing w:before="0" w:after="200" w:line="276" w:lineRule="auto"/>
        <w:jc w:val="left"/>
        <w:rPr>
          <w:rFonts w:eastAsiaTheme="majorEastAsia" w:cstheme="majorBidi"/>
          <w:b/>
          <w:bCs/>
          <w:color w:val="FF0000"/>
          <w:szCs w:val="28"/>
        </w:rPr>
      </w:pPr>
    </w:p>
    <w:p w:rsidR="00F54AF6" w:rsidRPr="007D3210" w:rsidRDefault="00626E73" w:rsidP="007D3210">
      <w:pPr>
        <w:pStyle w:val="Nadpis2"/>
      </w:pPr>
      <w:bookmarkStart w:id="5" w:name="_Toc367278135"/>
      <w:r w:rsidRPr="007D3210">
        <w:t>SOCIÁLNĚ DEMOGRAFICKÁ ANALÝZA</w:t>
      </w:r>
      <w:bookmarkEnd w:id="5"/>
    </w:p>
    <w:p w:rsidR="00EF3945" w:rsidRPr="00EF3945" w:rsidRDefault="00EF3945" w:rsidP="00EF3945"/>
    <w:p w:rsidR="00E93672" w:rsidRDefault="00E93672" w:rsidP="00E93672">
      <w:r>
        <w:t xml:space="preserve">V rámci sociálně demografické analýzy proběhlo zpracování všech dostupných sociálně demografických ukazatelů a dat. </w:t>
      </w:r>
    </w:p>
    <w:p w:rsidR="00EF3945" w:rsidRPr="00E93672" w:rsidRDefault="00EF3945" w:rsidP="00E93672"/>
    <w:p w:rsidR="00626E73" w:rsidRDefault="00B93BA6" w:rsidP="007D3210">
      <w:pPr>
        <w:pStyle w:val="Nadpis3"/>
      </w:pPr>
      <w:bookmarkStart w:id="6" w:name="_Toc367278136"/>
      <w:r>
        <w:t>OBECNÉ INFORMACE</w:t>
      </w:r>
      <w:bookmarkEnd w:id="6"/>
    </w:p>
    <w:p w:rsidR="00306E2D" w:rsidRPr="00306E2D" w:rsidRDefault="00306E2D" w:rsidP="00306E2D"/>
    <w:p w:rsidR="000D34BA" w:rsidRDefault="000D34BA" w:rsidP="00667896">
      <w:pPr>
        <w:spacing w:before="0" w:after="200" w:line="276" w:lineRule="auto"/>
      </w:pPr>
      <w:r>
        <w:t>Sociálně demografická analýza umožňuje odhadnout aktuální potřebu sociálních služeb</w:t>
      </w:r>
      <w:r w:rsidR="00400C8C">
        <w:t xml:space="preserve"> a do jisté míry i předpovědět její budoucí vývoj. Při zpracování </w:t>
      </w:r>
      <w:r w:rsidR="00C373FD">
        <w:t>demografické analýzy</w:t>
      </w:r>
      <w:r w:rsidR="00400C8C">
        <w:t xml:space="preserve"> byly zohledněny pouze ty aspekty </w:t>
      </w:r>
      <w:r w:rsidR="00EA274E">
        <w:t xml:space="preserve">sociálně demografického </w:t>
      </w:r>
      <w:r w:rsidR="00400C8C">
        <w:t>vývoje, které korespondují s cílovými skupinami uži</w:t>
      </w:r>
      <w:r w:rsidR="00EA274E">
        <w:t>vatelů sociálních služeb</w:t>
      </w:r>
      <w:r w:rsidR="00C373FD">
        <w:rPr>
          <w:rStyle w:val="Znakapoznpodarou"/>
        </w:rPr>
        <w:footnoteReference w:id="2"/>
      </w:r>
      <w:r w:rsidR="00EA274E">
        <w:t xml:space="preserve">. </w:t>
      </w:r>
    </w:p>
    <w:p w:rsidR="00623C62" w:rsidRDefault="00623C62" w:rsidP="00667896">
      <w:pPr>
        <w:spacing w:before="0" w:after="200" w:line="276" w:lineRule="auto"/>
      </w:pPr>
      <w:r>
        <w:t xml:space="preserve">Město Velké Meziříčí patří k významným moravským městům v jihovýchodní části Kraje Vysočina a rozkládá se na Českomoravské vysočině. V posledních letech se město rozrostlo o mnoho nových staveb. Rozšiřují se tak obytné části a dochází k propojování s okolními obcemi, čímž vzniká menší aglomerace. Velké Meziříčí </w:t>
      </w:r>
      <w:r w:rsidR="004C0926">
        <w:t>zahrnuje</w:t>
      </w:r>
      <w:r>
        <w:t xml:space="preserve"> sedm místních částí</w:t>
      </w:r>
      <w:r w:rsidR="004C0926">
        <w:t xml:space="preserve"> a to Lhotky, Kústky, Dolní Radslavice, Mostiště, Olší nad Oslavou, Hrbov a Svařenov. </w:t>
      </w:r>
    </w:p>
    <w:p w:rsidR="00EF3945" w:rsidRDefault="00EF3945" w:rsidP="00667896">
      <w:pPr>
        <w:spacing w:before="0" w:after="200" w:line="276" w:lineRule="auto"/>
      </w:pPr>
    </w:p>
    <w:p w:rsidR="00626E73" w:rsidRDefault="00B93BA6" w:rsidP="007D3210">
      <w:pPr>
        <w:pStyle w:val="Nadpis3"/>
      </w:pPr>
      <w:bookmarkStart w:id="7" w:name="_Toc367278137"/>
      <w:r>
        <w:t>POČET OBYVATEL</w:t>
      </w:r>
      <w:bookmarkEnd w:id="7"/>
    </w:p>
    <w:p w:rsidR="00306E2D" w:rsidRPr="00306E2D" w:rsidRDefault="00306E2D" w:rsidP="00306E2D"/>
    <w:p w:rsidR="003258FB" w:rsidRPr="003258FB" w:rsidRDefault="00C373FD" w:rsidP="00667896">
      <w:pPr>
        <w:spacing w:before="0" w:after="200" w:line="276" w:lineRule="auto"/>
      </w:pPr>
      <w:r>
        <w:t>K</w:t>
      </w:r>
      <w:r w:rsidR="004C0926">
        <w:t> 1.</w:t>
      </w:r>
      <w:r w:rsidR="004139DE">
        <w:t xml:space="preserve"> 7</w:t>
      </w:r>
      <w:r w:rsidR="004C0926">
        <w:t>. 201</w:t>
      </w:r>
      <w:r w:rsidR="004139DE">
        <w:t xml:space="preserve">2 </w:t>
      </w:r>
      <w:r>
        <w:t xml:space="preserve">žilo trvale ve Velkém Meziříčí </w:t>
      </w:r>
      <w:r w:rsidR="004139DE">
        <w:t>11 75</w:t>
      </w:r>
      <w:r w:rsidR="007D3210">
        <w:t>9 obyvatel, z toho 5 774 mužů a </w:t>
      </w:r>
      <w:r w:rsidR="004139DE">
        <w:t xml:space="preserve">5 985 žen. </w:t>
      </w:r>
    </w:p>
    <w:p w:rsidR="00626E73" w:rsidRPr="00702B4A" w:rsidRDefault="0006198D" w:rsidP="00667896">
      <w:pPr>
        <w:spacing w:before="0" w:after="200" w:line="276" w:lineRule="auto"/>
      </w:pPr>
      <w:r w:rsidRPr="00702B4A">
        <w:lastRenderedPageBreak/>
        <w:t xml:space="preserve">Jak vyplývá z grafu č. </w:t>
      </w:r>
      <w:r w:rsidR="004C0926">
        <w:t>1</w:t>
      </w:r>
      <w:r w:rsidRPr="00702B4A">
        <w:t xml:space="preserve">, </w:t>
      </w:r>
      <w:r w:rsidR="003258FB">
        <w:t>stav obyvatel města Velké Meziří</w:t>
      </w:r>
      <w:r w:rsidRPr="00702B4A">
        <w:t>čí se v období let 2003-2012 téměř nezměnil. V roce 2003 žilo ve Velkém Meziříčí celkem 11</w:t>
      </w:r>
      <w:r w:rsidR="003258FB">
        <w:t xml:space="preserve"> </w:t>
      </w:r>
      <w:r w:rsidRPr="00702B4A">
        <w:t>773 obyvatel. V roce 2012 žilo ve městě 11</w:t>
      </w:r>
      <w:r w:rsidR="003258FB">
        <w:t xml:space="preserve"> </w:t>
      </w:r>
      <w:r w:rsidRPr="00702B4A">
        <w:t xml:space="preserve">759 obyvatel. </w:t>
      </w:r>
    </w:p>
    <w:p w:rsidR="00667896" w:rsidRDefault="0006198D" w:rsidP="00667896">
      <w:pPr>
        <w:spacing w:before="0" w:after="200" w:line="276" w:lineRule="auto"/>
      </w:pPr>
      <w:r w:rsidRPr="00702B4A">
        <w:t>Zatímco p</w:t>
      </w:r>
      <w:r w:rsidR="003258FB">
        <w:t xml:space="preserve">očet </w:t>
      </w:r>
      <w:r w:rsidRPr="00702B4A">
        <w:t xml:space="preserve">mužů v období let 2003-2012 </w:t>
      </w:r>
      <w:r w:rsidR="00C373FD">
        <w:t>vzrostl</w:t>
      </w:r>
      <w:r w:rsidRPr="00702B4A">
        <w:t xml:space="preserve"> o</w:t>
      </w:r>
      <w:r w:rsidR="003258FB">
        <w:t xml:space="preserve"> 30</w:t>
      </w:r>
      <w:r w:rsidRPr="00702B4A">
        <w:t>, tak počet</w:t>
      </w:r>
      <w:r w:rsidR="003258FB">
        <w:t xml:space="preserve"> žen </w:t>
      </w:r>
      <w:r w:rsidR="00DD0614">
        <w:t xml:space="preserve">se </w:t>
      </w:r>
      <w:r w:rsidR="003258FB">
        <w:t xml:space="preserve">ve stejném období </w:t>
      </w:r>
      <w:r w:rsidR="00DD0614">
        <w:t>snížil</w:t>
      </w:r>
      <w:r w:rsidR="003258FB">
        <w:t xml:space="preserve"> o 44</w:t>
      </w:r>
      <w:r w:rsidRPr="00702B4A">
        <w:t xml:space="preserve">. </w:t>
      </w:r>
    </w:p>
    <w:p w:rsidR="00B60719" w:rsidRDefault="005B5206" w:rsidP="00B60719">
      <w:pPr>
        <w:pStyle w:val="Titulek"/>
        <w:keepNext/>
        <w:jc w:val="left"/>
      </w:pPr>
      <w:bookmarkStart w:id="8" w:name="_Toc367357503"/>
      <w:r>
        <w:t xml:space="preserve">Graf č. </w:t>
      </w:r>
      <w:r w:rsidR="00EE3646">
        <w:fldChar w:fldCharType="begin"/>
      </w:r>
      <w:r w:rsidR="00EE3646">
        <w:instrText xml:space="preserve"> SEQ Graf_č. \* ARABIC </w:instrText>
      </w:r>
      <w:r w:rsidR="00EE3646">
        <w:fldChar w:fldCharType="separate"/>
      </w:r>
      <w:r w:rsidR="00B16210">
        <w:rPr>
          <w:noProof/>
        </w:rPr>
        <w:t>1</w:t>
      </w:r>
      <w:r w:rsidR="00EE3646">
        <w:rPr>
          <w:noProof/>
        </w:rPr>
        <w:fldChar w:fldCharType="end"/>
      </w:r>
      <w:r>
        <w:t xml:space="preserve">: </w:t>
      </w:r>
      <w:r w:rsidRPr="005B5206">
        <w:rPr>
          <w:b w:val="0"/>
        </w:rPr>
        <w:t>Vývoj počtu obyvatel Velkého Meziříčí v letech 2003</w:t>
      </w:r>
      <w:r>
        <w:rPr>
          <w:b w:val="0"/>
        </w:rPr>
        <w:t>–</w:t>
      </w:r>
      <w:r w:rsidRPr="005B5206">
        <w:rPr>
          <w:b w:val="0"/>
        </w:rPr>
        <w:t>2012</w:t>
      </w:r>
      <w:r>
        <w:rPr>
          <w:b w:val="0"/>
        </w:rPr>
        <w:t>.</w:t>
      </w:r>
      <w:bookmarkEnd w:id="8"/>
    </w:p>
    <w:p w:rsidR="00B60719" w:rsidRDefault="00626E73" w:rsidP="00B60719">
      <w:pPr>
        <w:keepNext/>
        <w:spacing w:before="0" w:line="276" w:lineRule="auto"/>
        <w:jc w:val="left"/>
      </w:pPr>
      <w:r>
        <w:rPr>
          <w:noProof/>
          <w:lang w:eastAsia="cs-CZ"/>
        </w:rPr>
        <w:drawing>
          <wp:inline distT="0" distB="0" distL="0" distR="0" wp14:anchorId="1A528D7D" wp14:editId="6C0AA770">
            <wp:extent cx="5667154" cy="3487479"/>
            <wp:effectExtent l="0" t="0" r="10160" b="1778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3E6E" w:rsidRDefault="00D63E6E" w:rsidP="00626E73">
      <w:pPr>
        <w:pStyle w:val="Odstavecseseznamem"/>
        <w:spacing w:before="0" w:after="200" w:line="276" w:lineRule="auto"/>
        <w:ind w:left="-284"/>
        <w:jc w:val="left"/>
        <w:rPr>
          <w:b/>
          <w:color w:val="FF0000"/>
        </w:rPr>
      </w:pPr>
    </w:p>
    <w:p w:rsidR="00D63E6E" w:rsidRDefault="00D63E6E" w:rsidP="00A37A8D">
      <w:pPr>
        <w:pStyle w:val="Odstavecseseznamem"/>
        <w:spacing w:before="0" w:after="200" w:line="276" w:lineRule="auto"/>
        <w:ind w:left="0"/>
      </w:pPr>
      <w:r w:rsidRPr="00D63E6E">
        <w:t>Jak vyplývá z analýzy s</w:t>
      </w:r>
      <w:r w:rsidR="00A27B94">
        <w:t>ekundárních dat</w:t>
      </w:r>
      <w:r w:rsidR="00F73750">
        <w:t>,</w:t>
      </w:r>
      <w:r w:rsidR="00A27B94">
        <w:t xml:space="preserve"> v období mezi le</w:t>
      </w:r>
      <w:r w:rsidRPr="00D63E6E">
        <w:t>ty 2003-2012</w:t>
      </w:r>
      <w:r w:rsidR="00DD0614">
        <w:t>,</w:t>
      </w:r>
      <w:r w:rsidRPr="00D63E6E">
        <w:t xml:space="preserve"> zásadn</w:t>
      </w:r>
      <w:r w:rsidR="00F73750">
        <w:t>ějším</w:t>
      </w:r>
      <w:r w:rsidRPr="00D63E6E">
        <w:t xml:space="preserve"> způsobem </w:t>
      </w:r>
      <w:r w:rsidR="00F73750">
        <w:t>poklesl</w:t>
      </w:r>
      <w:r w:rsidRPr="00D63E6E">
        <w:t xml:space="preserve"> ve městě Velké Meziříčí počet obyvatel ve věku 0-14 let. Zatímco v roce </w:t>
      </w:r>
      <w:r>
        <w:t xml:space="preserve">2003 </w:t>
      </w:r>
      <w:r w:rsidR="00C373FD">
        <w:t>byl</w:t>
      </w:r>
      <w:r w:rsidR="00D21F65">
        <w:t xml:space="preserve"> počet </w:t>
      </w:r>
      <w:r w:rsidR="00C373FD">
        <w:t>obyvatel</w:t>
      </w:r>
      <w:r w:rsidR="00D21F65">
        <w:t xml:space="preserve"> </w:t>
      </w:r>
      <w:r w:rsidR="00F73750">
        <w:t xml:space="preserve">ve věku 0-14 let </w:t>
      </w:r>
      <w:r w:rsidR="00D21F65">
        <w:t xml:space="preserve">2012, tak </w:t>
      </w:r>
      <w:r w:rsidR="00C373FD">
        <w:t>v roce 2013</w:t>
      </w:r>
      <w:r w:rsidR="00D21F65">
        <w:t xml:space="preserve"> se snížil na 1</w:t>
      </w:r>
      <w:r w:rsidR="00F73750">
        <w:t> </w:t>
      </w:r>
      <w:r w:rsidR="00D21F65">
        <w:t>722.</w:t>
      </w:r>
      <w:r w:rsidR="004C0926">
        <w:t xml:space="preserve"> </w:t>
      </w:r>
      <w:r w:rsidR="00DD0614">
        <w:t>Úbytek tak činí 290 obyvatel</w:t>
      </w:r>
      <w:r w:rsidR="00C373FD">
        <w:t xml:space="preserve"> ve věku 0-14 let</w:t>
      </w:r>
      <w:r w:rsidR="00DD0614">
        <w:t xml:space="preserve">. </w:t>
      </w:r>
    </w:p>
    <w:p w:rsidR="00C373FD" w:rsidRDefault="00C373FD" w:rsidP="00A37A8D">
      <w:pPr>
        <w:pStyle w:val="Odstavecseseznamem"/>
        <w:spacing w:before="0" w:after="200" w:line="276" w:lineRule="auto"/>
        <w:ind w:left="0"/>
      </w:pPr>
    </w:p>
    <w:p w:rsidR="005B5206" w:rsidRDefault="005B5206" w:rsidP="005B5206">
      <w:pPr>
        <w:pStyle w:val="Titulek"/>
        <w:keepNext/>
        <w:jc w:val="left"/>
      </w:pPr>
      <w:bookmarkStart w:id="9" w:name="_Toc367357504"/>
      <w:r>
        <w:t xml:space="preserve">Graf č. </w:t>
      </w:r>
      <w:r w:rsidR="00EE3646">
        <w:fldChar w:fldCharType="begin"/>
      </w:r>
      <w:r w:rsidR="00EE3646">
        <w:instrText xml:space="preserve"> SEQ Graf_č. \* ARABIC </w:instrText>
      </w:r>
      <w:r w:rsidR="00EE3646">
        <w:fldChar w:fldCharType="separate"/>
      </w:r>
      <w:r w:rsidR="00B16210">
        <w:rPr>
          <w:noProof/>
        </w:rPr>
        <w:t>2</w:t>
      </w:r>
      <w:r w:rsidR="00EE3646">
        <w:rPr>
          <w:noProof/>
        </w:rPr>
        <w:fldChar w:fldCharType="end"/>
      </w:r>
      <w:r>
        <w:t xml:space="preserve">: </w:t>
      </w:r>
      <w:r w:rsidRPr="005B5206">
        <w:rPr>
          <w:b w:val="0"/>
        </w:rPr>
        <w:t>Vývoj stavu obyvatel Velkého Meziříčí ve věku 0-14 let v letech 2003-2012</w:t>
      </w:r>
      <w:r>
        <w:rPr>
          <w:b w:val="0"/>
        </w:rPr>
        <w:t>.</w:t>
      </w:r>
      <w:bookmarkEnd w:id="9"/>
    </w:p>
    <w:p w:rsidR="00626E73" w:rsidRPr="004618F6" w:rsidRDefault="00626E73" w:rsidP="004618F6">
      <w:pPr>
        <w:pStyle w:val="Odstavecseseznamem"/>
        <w:spacing w:before="0" w:line="276" w:lineRule="auto"/>
        <w:ind w:left="0"/>
        <w:jc w:val="left"/>
        <w:rPr>
          <w:b/>
          <w:sz w:val="20"/>
        </w:rPr>
      </w:pPr>
      <w:r>
        <w:rPr>
          <w:noProof/>
          <w:lang w:eastAsia="cs-CZ"/>
        </w:rPr>
        <w:drawing>
          <wp:inline distT="0" distB="0" distL="0" distR="0" wp14:anchorId="6FC658EA" wp14:editId="274DF222">
            <wp:extent cx="5730949" cy="2126511"/>
            <wp:effectExtent l="0" t="0" r="22225" b="2667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39DE" w:rsidRDefault="004139DE" w:rsidP="00626E73">
      <w:pPr>
        <w:pStyle w:val="Odstavecseseznamem"/>
        <w:spacing w:before="0" w:after="200" w:line="276" w:lineRule="auto"/>
        <w:ind w:left="-284"/>
        <w:jc w:val="left"/>
        <w:rPr>
          <w:b/>
          <w:color w:val="FF0000"/>
        </w:rPr>
      </w:pPr>
    </w:p>
    <w:p w:rsidR="00DA7455" w:rsidRDefault="00C373FD" w:rsidP="00A37A8D">
      <w:pPr>
        <w:pStyle w:val="Odstavecseseznamem"/>
        <w:spacing w:before="0" w:after="200" w:line="276" w:lineRule="auto"/>
        <w:ind w:left="0"/>
      </w:pPr>
      <w:r>
        <w:t>Naproti tomu</w:t>
      </w:r>
      <w:r w:rsidR="006E3FE2">
        <w:t xml:space="preserve"> </w:t>
      </w:r>
      <w:r w:rsidR="00A27B94">
        <w:t>počet</w:t>
      </w:r>
      <w:r w:rsidR="006E3FE2">
        <w:t xml:space="preserve"> obyvatel </w:t>
      </w:r>
      <w:r w:rsidR="00F73750">
        <w:t>starších</w:t>
      </w:r>
      <w:r w:rsidR="006E3FE2">
        <w:t xml:space="preserve"> 65 let</w:t>
      </w:r>
      <w:r w:rsidR="00DA7455">
        <w:t xml:space="preserve"> v letech 2003-2012</w:t>
      </w:r>
      <w:r w:rsidR="00F73750">
        <w:t xml:space="preserve"> zásadně vzrostl</w:t>
      </w:r>
      <w:r w:rsidR="00DA7455">
        <w:t xml:space="preserve">. </w:t>
      </w:r>
      <w:r w:rsidR="00F73750">
        <w:t>Zatímco v</w:t>
      </w:r>
      <w:r w:rsidR="00DA7455">
        <w:t xml:space="preserve"> roce 2003 </w:t>
      </w:r>
      <w:r w:rsidR="00F73750">
        <w:t>žilo ve Velkém Meziříčí</w:t>
      </w:r>
      <w:r w:rsidR="00DA7455">
        <w:t xml:space="preserve"> </w:t>
      </w:r>
      <w:r w:rsidR="00F73750">
        <w:t>ve věku nad 65 let</w:t>
      </w:r>
      <w:r w:rsidR="00DA7455">
        <w:t xml:space="preserve"> 1</w:t>
      </w:r>
      <w:r w:rsidR="00F73750">
        <w:t> </w:t>
      </w:r>
      <w:r w:rsidR="00DA7455">
        <w:t>479</w:t>
      </w:r>
      <w:r w:rsidR="00F73750">
        <w:t xml:space="preserve"> obyvatel</w:t>
      </w:r>
      <w:r w:rsidR="00DA7455">
        <w:t xml:space="preserve">, v roce 2012 tento počet </w:t>
      </w:r>
      <w:r w:rsidR="00F73750">
        <w:t>vzrostl</w:t>
      </w:r>
      <w:r w:rsidR="00DA7455">
        <w:t xml:space="preserve"> až na 1 878 obyvatel. </w:t>
      </w:r>
      <w:r w:rsidR="00A27B94">
        <w:t xml:space="preserve">Přírůstek obyvatel nad 65 let mezi lety 2003-2012 tak činí 399 osob. </w:t>
      </w:r>
    </w:p>
    <w:p w:rsidR="00354E1F" w:rsidRDefault="008C2C98" w:rsidP="00A37A8D">
      <w:pPr>
        <w:pStyle w:val="Odstavecseseznamem"/>
        <w:spacing w:before="0" w:after="200" w:line="276" w:lineRule="auto"/>
        <w:ind w:left="0"/>
      </w:pPr>
      <w:r>
        <w:t xml:space="preserve">Výše uvedené </w:t>
      </w:r>
      <w:r w:rsidR="00647166">
        <w:t xml:space="preserve">údaje korespondují s celkovým vývojem </w:t>
      </w:r>
      <w:r w:rsidR="00F73750">
        <w:t>České populace</w:t>
      </w:r>
      <w:r w:rsidR="00354E1F">
        <w:t>,</w:t>
      </w:r>
      <w:r w:rsidR="00F73750">
        <w:t xml:space="preserve"> což je důsledek tzv. </w:t>
      </w:r>
      <w:r w:rsidR="00354E1F">
        <w:t>stárnutí populace</w:t>
      </w:r>
      <w:r>
        <w:t>. J</w:t>
      </w:r>
      <w:r w:rsidR="00354E1F">
        <w:t xml:space="preserve">e proto </w:t>
      </w:r>
      <w:r>
        <w:t xml:space="preserve">do budoucna </w:t>
      </w:r>
      <w:r w:rsidR="00354E1F">
        <w:t xml:space="preserve">nutné mít tento trend na zřeteli při </w:t>
      </w:r>
      <w:r w:rsidR="00F73750">
        <w:t>konstrukci a modifikaci sítě sociálních služeb na území města Velké Meziříčí, případně i v š</w:t>
      </w:r>
      <w:r>
        <w:t>i</w:t>
      </w:r>
      <w:r w:rsidR="00F73750">
        <w:t xml:space="preserve">rším regionu </w:t>
      </w:r>
      <w:r>
        <w:t xml:space="preserve">– v rámci </w:t>
      </w:r>
      <w:r w:rsidR="00F73750">
        <w:t>ORP</w:t>
      </w:r>
      <w:r w:rsidR="00354E1F">
        <w:t xml:space="preserve">. </w:t>
      </w:r>
    </w:p>
    <w:p w:rsidR="00695EAA" w:rsidRDefault="00695EAA" w:rsidP="00695EAA">
      <w:pPr>
        <w:pStyle w:val="Titulek"/>
        <w:keepNext/>
        <w:jc w:val="left"/>
      </w:pPr>
      <w:bookmarkStart w:id="10" w:name="_Toc367357505"/>
      <w:r>
        <w:t xml:space="preserve">Graf č. </w:t>
      </w:r>
      <w:r w:rsidR="00EE3646">
        <w:fldChar w:fldCharType="begin"/>
      </w:r>
      <w:r w:rsidR="00EE3646">
        <w:instrText xml:space="preserve"> SEQ Graf_č. \* ARABIC </w:instrText>
      </w:r>
      <w:r w:rsidR="00EE3646">
        <w:fldChar w:fldCharType="separate"/>
      </w:r>
      <w:r w:rsidR="00B16210">
        <w:rPr>
          <w:noProof/>
        </w:rPr>
        <w:t>3</w:t>
      </w:r>
      <w:r w:rsidR="00EE3646">
        <w:rPr>
          <w:noProof/>
        </w:rPr>
        <w:fldChar w:fldCharType="end"/>
      </w:r>
      <w:r>
        <w:t>:</w:t>
      </w:r>
      <w:r w:rsidRPr="00695EAA">
        <w:rPr>
          <w:b w:val="0"/>
        </w:rPr>
        <w:t xml:space="preserve"> </w:t>
      </w:r>
      <w:r w:rsidRPr="005B5206">
        <w:rPr>
          <w:b w:val="0"/>
        </w:rPr>
        <w:t>Vývoj stavu obyvatel Velkého Meziříčí ve věku nad 65 let v letech 2003 – 2012</w:t>
      </w:r>
      <w:r>
        <w:rPr>
          <w:b w:val="0"/>
        </w:rPr>
        <w:t>.</w:t>
      </w:r>
      <w:bookmarkEnd w:id="10"/>
    </w:p>
    <w:p w:rsidR="00170E84" w:rsidRDefault="00170E84" w:rsidP="00B10466">
      <w:pPr>
        <w:pStyle w:val="Odstavecseseznamem"/>
        <w:spacing w:before="0" w:after="200" w:line="276" w:lineRule="auto"/>
        <w:ind w:left="0"/>
        <w:jc w:val="left"/>
        <w:rPr>
          <w:sz w:val="20"/>
        </w:rPr>
      </w:pPr>
      <w:r>
        <w:rPr>
          <w:noProof/>
          <w:lang w:eastAsia="cs-CZ"/>
        </w:rPr>
        <w:drawing>
          <wp:inline distT="0" distB="0" distL="0" distR="0" wp14:anchorId="744ED632" wp14:editId="0F7C1FD2">
            <wp:extent cx="5762847" cy="2286000"/>
            <wp:effectExtent l="0" t="0" r="9525" b="1905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06E2D" w:rsidRDefault="00306E2D" w:rsidP="008E754E">
      <w:pPr>
        <w:pStyle w:val="Odstavecseseznamem"/>
        <w:spacing w:before="0" w:after="200" w:line="276" w:lineRule="auto"/>
        <w:ind w:left="0"/>
        <w:jc w:val="left"/>
        <w:rPr>
          <w:b/>
          <w:color w:val="FF0000"/>
        </w:rPr>
      </w:pPr>
    </w:p>
    <w:p w:rsidR="00E73AAA" w:rsidRDefault="00E73AAA" w:rsidP="008E754E">
      <w:pPr>
        <w:pStyle w:val="Odstavecseseznamem"/>
        <w:spacing w:before="0" w:after="200" w:line="276" w:lineRule="auto"/>
        <w:ind w:left="0"/>
        <w:jc w:val="left"/>
        <w:rPr>
          <w:b/>
          <w:color w:val="FF0000"/>
        </w:rPr>
      </w:pPr>
    </w:p>
    <w:p w:rsidR="00170E84" w:rsidRDefault="00170E84" w:rsidP="007D3210">
      <w:pPr>
        <w:pStyle w:val="Nadpis3"/>
      </w:pPr>
      <w:bookmarkStart w:id="11" w:name="_Toc367278138"/>
      <w:r>
        <w:t>MORTALITA</w:t>
      </w:r>
      <w:bookmarkEnd w:id="11"/>
    </w:p>
    <w:p w:rsidR="00306E2D" w:rsidRPr="00306E2D" w:rsidRDefault="00306E2D" w:rsidP="00306E2D"/>
    <w:p w:rsidR="00033113" w:rsidRPr="00354E1F" w:rsidRDefault="00354E1F" w:rsidP="00755E78">
      <w:pPr>
        <w:spacing w:before="0" w:after="200" w:line="276" w:lineRule="auto"/>
      </w:pPr>
      <w:r>
        <w:t xml:space="preserve">Jak </w:t>
      </w:r>
      <w:r w:rsidR="00755E78">
        <w:t>dokumentuje</w:t>
      </w:r>
      <w:r>
        <w:t xml:space="preserve"> graf č. 4</w:t>
      </w:r>
      <w:r w:rsidR="00070D92">
        <w:t>, počet zemřelých obyvatel ve věku nad 65 let se zásadním způsobem v letech 2003-2012 ne</w:t>
      </w:r>
      <w:r w:rsidR="00777801">
        <w:t>z</w:t>
      </w:r>
      <w:r w:rsidR="00070D92">
        <w:t xml:space="preserve">měnil. Mírnou klesající tendenci můžeme zaznamenat v posledních 5 letech, tedy v období </w:t>
      </w:r>
      <w:r w:rsidR="00B10466">
        <w:t>od roku 2008 do roku 2012</w:t>
      </w:r>
      <w:r w:rsidR="00E775BF">
        <w:t xml:space="preserve">. </w:t>
      </w:r>
      <w:r w:rsidR="00E97861">
        <w:t xml:space="preserve">Úbytek zemřelých osob nad 65 let v tomto období činí </w:t>
      </w:r>
      <w:r w:rsidR="00D4722F">
        <w:t xml:space="preserve">celkem </w:t>
      </w:r>
      <w:r w:rsidR="00E97861">
        <w:t xml:space="preserve">30 osob. </w:t>
      </w:r>
    </w:p>
    <w:p w:rsidR="005B5206" w:rsidRPr="005B5206" w:rsidRDefault="005B5206" w:rsidP="005B5206">
      <w:pPr>
        <w:pStyle w:val="Titulek"/>
        <w:keepNext/>
        <w:jc w:val="left"/>
        <w:rPr>
          <w:b w:val="0"/>
        </w:rPr>
      </w:pPr>
      <w:bookmarkStart w:id="12" w:name="_Toc367357506"/>
      <w:r>
        <w:t xml:space="preserve">Graf č. </w:t>
      </w:r>
      <w:r w:rsidR="00EE3646">
        <w:fldChar w:fldCharType="begin"/>
      </w:r>
      <w:r w:rsidR="00EE3646">
        <w:instrText xml:space="preserve"> SEQ Graf_č. \* ARABIC </w:instrText>
      </w:r>
      <w:r w:rsidR="00EE3646">
        <w:fldChar w:fldCharType="separate"/>
      </w:r>
      <w:r w:rsidR="00B16210">
        <w:rPr>
          <w:noProof/>
        </w:rPr>
        <w:t>4</w:t>
      </w:r>
      <w:r w:rsidR="00EE3646">
        <w:rPr>
          <w:noProof/>
        </w:rPr>
        <w:fldChar w:fldCharType="end"/>
      </w:r>
      <w:r>
        <w:t xml:space="preserve">: </w:t>
      </w:r>
      <w:r w:rsidRPr="005B5206">
        <w:rPr>
          <w:b w:val="0"/>
        </w:rPr>
        <w:t xml:space="preserve">Vývoj počtu zemřelých obyvatel Velkého Meziříčí ve věku nad 65 let </w:t>
      </w:r>
      <w:r>
        <w:rPr>
          <w:b w:val="0"/>
        </w:rPr>
        <w:t>v letech 2003–</w:t>
      </w:r>
      <w:r w:rsidRPr="005B5206">
        <w:rPr>
          <w:b w:val="0"/>
        </w:rPr>
        <w:t>2012</w:t>
      </w:r>
      <w:r>
        <w:rPr>
          <w:b w:val="0"/>
        </w:rPr>
        <w:t>.</w:t>
      </w:r>
      <w:bookmarkEnd w:id="12"/>
    </w:p>
    <w:p w:rsidR="00033113" w:rsidRDefault="00170E84" w:rsidP="00170E84">
      <w:pPr>
        <w:spacing w:before="0" w:after="200" w:line="276" w:lineRule="auto"/>
        <w:jc w:val="left"/>
        <w:rPr>
          <w:sz w:val="20"/>
        </w:rPr>
      </w:pPr>
      <w:r>
        <w:rPr>
          <w:noProof/>
          <w:lang w:eastAsia="cs-CZ"/>
        </w:rPr>
        <w:drawing>
          <wp:inline distT="0" distB="0" distL="0" distR="0" wp14:anchorId="27DD8518" wp14:editId="7847C055">
            <wp:extent cx="5762847" cy="1924493"/>
            <wp:effectExtent l="0" t="0" r="9525" b="1905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3113" w:rsidRDefault="00033113" w:rsidP="00170E84">
      <w:pPr>
        <w:spacing w:before="0" w:after="200" w:line="276" w:lineRule="auto"/>
        <w:jc w:val="left"/>
        <w:rPr>
          <w:sz w:val="20"/>
        </w:rPr>
      </w:pPr>
    </w:p>
    <w:p w:rsidR="00E73AAA" w:rsidRDefault="00E73AAA">
      <w:pPr>
        <w:spacing w:before="0" w:after="200" w:line="276" w:lineRule="auto"/>
        <w:jc w:val="left"/>
      </w:pPr>
    </w:p>
    <w:p w:rsidR="00E73AAA" w:rsidRPr="00E775BF" w:rsidRDefault="00682E54" w:rsidP="00033113">
      <w:pPr>
        <w:spacing w:before="0" w:after="200" w:line="276" w:lineRule="auto"/>
      </w:pPr>
      <w:r>
        <w:t>Nejběžnějším údajem úmrtnosti je tzv. hrubá míra úmrtnosti, tedy počet ze</w:t>
      </w:r>
      <w:r w:rsidR="00C813D6">
        <w:t xml:space="preserve">mřelých na 1000 obyvatel osob středního stavu obyvatelstva za kalendářní rok. </w:t>
      </w:r>
      <w:r w:rsidR="00985A7E">
        <w:t>Hrubá míra úmrtnosti</w:t>
      </w:r>
      <w:r w:rsidR="00E775BF">
        <w:t xml:space="preserve"> obyvatel Velkého Meziříčí je zachycena v grafu č. 5, jenž demonstruje vývoj počtu zemřelých na 1000 obyvatel. </w:t>
      </w:r>
      <w:r w:rsidR="00021889">
        <w:t>Za zkoumané období 2003</w:t>
      </w:r>
      <w:r w:rsidR="001D4749">
        <w:t xml:space="preserve"> </w:t>
      </w:r>
      <w:r w:rsidR="00021889">
        <w:t>-</w:t>
      </w:r>
      <w:r w:rsidR="001D4749">
        <w:t xml:space="preserve"> </w:t>
      </w:r>
      <w:r w:rsidR="00021889">
        <w:t>2012</w:t>
      </w:r>
      <w:r w:rsidR="00B40F69">
        <w:t xml:space="preserve"> zemřelo nejvíce</w:t>
      </w:r>
      <w:r w:rsidR="00D57032">
        <w:t xml:space="preserve"> osob v roce 2003, a to</w:t>
      </w:r>
      <w:r w:rsidR="00B40F69">
        <w:t xml:space="preserve"> 11 osob na 1000 obyvatel, oproti tomu v roce 2</w:t>
      </w:r>
      <w:r w:rsidR="00033113">
        <w:t xml:space="preserve">012 klesla úmrtnost na nejnižší počet, zemřelo tedy 7,3 osob na 1000 obyvatel Velkého Meziříčí. </w:t>
      </w:r>
    </w:p>
    <w:p w:rsidR="005B5206" w:rsidRDefault="005B5206" w:rsidP="005B5206">
      <w:pPr>
        <w:pStyle w:val="Titulek"/>
        <w:keepNext/>
        <w:jc w:val="left"/>
      </w:pPr>
      <w:bookmarkStart w:id="13" w:name="_Toc367357507"/>
      <w:r>
        <w:t xml:space="preserve">Graf č. </w:t>
      </w:r>
      <w:r w:rsidR="00EE3646">
        <w:fldChar w:fldCharType="begin"/>
      </w:r>
      <w:r w:rsidR="00EE3646">
        <w:instrText xml:space="preserve"> SEQ Graf_č. \* ARABIC </w:instrText>
      </w:r>
      <w:r w:rsidR="00EE3646">
        <w:fldChar w:fldCharType="separate"/>
      </w:r>
      <w:r w:rsidR="00B16210">
        <w:rPr>
          <w:noProof/>
        </w:rPr>
        <w:t>5</w:t>
      </w:r>
      <w:r w:rsidR="00EE3646">
        <w:rPr>
          <w:noProof/>
        </w:rPr>
        <w:fldChar w:fldCharType="end"/>
      </w:r>
      <w:r>
        <w:t xml:space="preserve">: </w:t>
      </w:r>
      <w:r w:rsidRPr="005B5206">
        <w:rPr>
          <w:b w:val="0"/>
        </w:rPr>
        <w:t>Vývoj počtu zemřelých na 1000 obyvatel</w:t>
      </w:r>
      <w:r w:rsidR="007D3210">
        <w:rPr>
          <w:b w:val="0"/>
        </w:rPr>
        <w:t xml:space="preserve"> Velkého Meziříčí v letech 2003</w:t>
      </w:r>
      <w:r>
        <w:rPr>
          <w:b w:val="0"/>
        </w:rPr>
        <w:t>–</w:t>
      </w:r>
      <w:r w:rsidRPr="005B5206">
        <w:rPr>
          <w:b w:val="0"/>
        </w:rPr>
        <w:t>2012</w:t>
      </w:r>
      <w:r>
        <w:rPr>
          <w:b w:val="0"/>
        </w:rPr>
        <w:t>.</w:t>
      </w:r>
      <w:bookmarkEnd w:id="13"/>
    </w:p>
    <w:p w:rsidR="00031B94" w:rsidRDefault="00170E84" w:rsidP="00170E84">
      <w:pPr>
        <w:spacing w:before="0" w:after="200" w:line="276" w:lineRule="auto"/>
        <w:jc w:val="left"/>
        <w:rPr>
          <w:sz w:val="20"/>
        </w:rPr>
      </w:pPr>
      <w:r>
        <w:rPr>
          <w:noProof/>
          <w:lang w:eastAsia="cs-CZ"/>
        </w:rPr>
        <w:drawing>
          <wp:inline distT="0" distB="0" distL="0" distR="0" wp14:anchorId="73AA7C2E" wp14:editId="6E6AE1ED">
            <wp:extent cx="5762847" cy="1935125"/>
            <wp:effectExtent l="0" t="0" r="9525" b="2730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3113" w:rsidRDefault="00031B94" w:rsidP="00671838">
      <w:pPr>
        <w:spacing w:before="0" w:after="200" w:line="276" w:lineRule="auto"/>
      </w:pPr>
      <w:r>
        <w:rPr>
          <w:sz w:val="20"/>
        </w:rPr>
        <w:t>N</w:t>
      </w:r>
      <w:r>
        <w:t>ejčastější příčinou úmrtí obyvatel Velkého Meziříčí jsou nemoci oběhové sous</w:t>
      </w:r>
      <w:r w:rsidR="00F044DF">
        <w:t xml:space="preserve">tavy. Vývoj počtu zemřelých s touto příčinou úmrtí </w:t>
      </w:r>
      <w:r w:rsidR="00404BD2">
        <w:t xml:space="preserve">v letech 2003-2012 </w:t>
      </w:r>
      <w:r w:rsidR="00F044DF">
        <w:t xml:space="preserve">je zobrazen v grafu </w:t>
      </w:r>
      <w:r w:rsidR="00404BD2">
        <w:t xml:space="preserve">č. 6, který </w:t>
      </w:r>
      <w:r w:rsidR="00B10466">
        <w:t>naznačuje</w:t>
      </w:r>
      <w:r w:rsidR="00404BD2">
        <w:t xml:space="preserve"> střídavě klesající a vzrůstající </w:t>
      </w:r>
      <w:r w:rsidR="00777801">
        <w:t>počty. Za období 2003</w:t>
      </w:r>
      <w:r w:rsidR="00671838">
        <w:t>-2012 zemřelo</w:t>
      </w:r>
      <w:r w:rsidR="00F044DF">
        <w:t xml:space="preserve"> na tuto nemoc nejvíce osob</w:t>
      </w:r>
      <w:r w:rsidR="00671838">
        <w:t xml:space="preserve"> v roce 2006, to znamená 81 obyvatel, zatímco v roce 2012 dosáhl počet zemřelých na nemoc oběhové soustavy svého minima a to 39 osob. </w:t>
      </w:r>
      <w:r w:rsidR="00F044DF">
        <w:t xml:space="preserve">Od roku 2009 má toto onemocnění jako příčina úmrtí </w:t>
      </w:r>
      <w:r w:rsidR="00671838">
        <w:t xml:space="preserve">obyvatel Velkého Meziříčí </w:t>
      </w:r>
      <w:r w:rsidR="00F044DF">
        <w:t>klesající tendenci</w:t>
      </w:r>
      <w:r w:rsidR="00671838">
        <w:t xml:space="preserve">. </w:t>
      </w:r>
      <w:r w:rsidR="00D67A50">
        <w:t xml:space="preserve">Úbytek v tomto období činí 30 osob. </w:t>
      </w:r>
    </w:p>
    <w:p w:rsidR="007D3210" w:rsidRDefault="007D3210" w:rsidP="005B5206">
      <w:pPr>
        <w:pStyle w:val="Titulek"/>
        <w:keepNext/>
        <w:jc w:val="left"/>
        <w:rPr>
          <w:b w:val="0"/>
          <w:bCs w:val="0"/>
          <w:color w:val="auto"/>
          <w:sz w:val="24"/>
          <w:szCs w:val="22"/>
        </w:rPr>
      </w:pPr>
    </w:p>
    <w:p w:rsidR="00170E84" w:rsidRDefault="005B5206" w:rsidP="005B5206">
      <w:pPr>
        <w:pStyle w:val="Titulek"/>
        <w:keepNext/>
        <w:jc w:val="left"/>
      </w:pPr>
      <w:bookmarkStart w:id="14" w:name="_Toc367357508"/>
      <w:r>
        <w:t xml:space="preserve">Graf č. </w:t>
      </w:r>
      <w:r w:rsidR="00EE3646">
        <w:fldChar w:fldCharType="begin"/>
      </w:r>
      <w:r w:rsidR="00EE3646">
        <w:instrText xml:space="preserve"> SEQ Graf_č. \* ARABIC </w:instrText>
      </w:r>
      <w:r w:rsidR="00EE3646">
        <w:fldChar w:fldCharType="separate"/>
      </w:r>
      <w:r w:rsidR="00B16210">
        <w:rPr>
          <w:noProof/>
        </w:rPr>
        <w:t>6</w:t>
      </w:r>
      <w:r w:rsidR="00EE3646">
        <w:rPr>
          <w:noProof/>
        </w:rPr>
        <w:fldChar w:fldCharType="end"/>
      </w:r>
      <w:r>
        <w:t xml:space="preserve">: </w:t>
      </w:r>
      <w:r w:rsidRPr="005B5206">
        <w:rPr>
          <w:b w:val="0"/>
        </w:rPr>
        <w:t>Vývoj počtu zemřelých obyvatel na nemoci oběhové soustavy ve měs</w:t>
      </w:r>
      <w:r>
        <w:rPr>
          <w:b w:val="0"/>
        </w:rPr>
        <w:t>tě Velké Meziříčí v letech 2003–</w:t>
      </w:r>
      <w:r w:rsidRPr="005B5206">
        <w:rPr>
          <w:b w:val="0"/>
        </w:rPr>
        <w:t>2012</w:t>
      </w:r>
      <w:r>
        <w:rPr>
          <w:b w:val="0"/>
        </w:rPr>
        <w:t>.</w:t>
      </w:r>
      <w:r w:rsidR="00170E84">
        <w:rPr>
          <w:noProof/>
          <w:lang w:eastAsia="cs-CZ"/>
        </w:rPr>
        <w:drawing>
          <wp:inline distT="0" distB="0" distL="0" distR="0" wp14:anchorId="156A2C9F" wp14:editId="253E9C6A">
            <wp:extent cx="5762847" cy="2126511"/>
            <wp:effectExtent l="0" t="0" r="9525" b="2667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14"/>
    </w:p>
    <w:p w:rsidR="00A37A8D" w:rsidRDefault="00A37A8D" w:rsidP="00170E84">
      <w:pPr>
        <w:spacing w:before="0" w:after="200" w:line="276" w:lineRule="auto"/>
        <w:jc w:val="left"/>
        <w:rPr>
          <w:b/>
          <w:color w:val="FF0000"/>
        </w:rPr>
      </w:pPr>
    </w:p>
    <w:p w:rsidR="00170E84" w:rsidRDefault="00170E84" w:rsidP="00DD261D">
      <w:pPr>
        <w:pStyle w:val="Nadpis3"/>
      </w:pPr>
      <w:bookmarkStart w:id="15" w:name="_Toc367278139"/>
      <w:r>
        <w:t>MIGRACE</w:t>
      </w:r>
      <w:bookmarkEnd w:id="15"/>
    </w:p>
    <w:p w:rsidR="00306E2D" w:rsidRPr="00306E2D" w:rsidRDefault="00306E2D" w:rsidP="00306E2D"/>
    <w:p w:rsidR="00B93BA6" w:rsidRDefault="00565F0F" w:rsidP="00B93BA6">
      <w:pPr>
        <w:spacing w:before="0" w:after="200" w:line="276" w:lineRule="auto"/>
      </w:pPr>
      <w:r>
        <w:t>Migrace je významný demografický prvek, který určuje změnu struktury populace. Ta se projevuje jednak v sociální oblasti, tak i v lokálním ekonom</w:t>
      </w:r>
      <w:r w:rsidR="00863FF2">
        <w:t>ickém rozvoji či na trhu práce.</w:t>
      </w:r>
      <w:r w:rsidR="00863FF2">
        <w:rPr>
          <w:rStyle w:val="Znakapoznpodarou"/>
        </w:rPr>
        <w:footnoteReference w:id="3"/>
      </w:r>
    </w:p>
    <w:p w:rsidR="00A37A8D" w:rsidRPr="00A37A8D" w:rsidRDefault="00B93BA6" w:rsidP="00B93BA6">
      <w:pPr>
        <w:spacing w:before="0" w:after="200" w:line="276" w:lineRule="auto"/>
      </w:pPr>
      <w:r>
        <w:t>Z grafu č. 7 je patrné, že vývoj počtu přistěhovalých osob na území Velkého Meziříčí v letech 2003</w:t>
      </w:r>
      <w:r w:rsidR="006954AA">
        <w:t xml:space="preserve"> </w:t>
      </w:r>
      <w:r>
        <w:t>-</w:t>
      </w:r>
      <w:r w:rsidR="006954AA">
        <w:t xml:space="preserve"> </w:t>
      </w:r>
      <w:r>
        <w:t xml:space="preserve">2012 dosáhl maximální hodnoty v roce 2008, kdy se přistěhovalo 249 obyvatel. </w:t>
      </w:r>
      <w:r w:rsidR="00682E54">
        <w:t xml:space="preserve">Nejméně obyvatel se přistěhovalo do Velkého </w:t>
      </w:r>
      <w:r w:rsidR="0051679F">
        <w:t xml:space="preserve">Meziříčí v roce 2012, a to 128 obyvatel. </w:t>
      </w:r>
      <w:r w:rsidR="00245BA7">
        <w:t xml:space="preserve">Přepočet na 1000 obyvatel dokumentuje graf č. 8. </w:t>
      </w:r>
    </w:p>
    <w:p w:rsidR="005B5206" w:rsidRPr="005B5206" w:rsidRDefault="005B5206" w:rsidP="005B5206">
      <w:pPr>
        <w:pStyle w:val="Titulek"/>
        <w:keepNext/>
        <w:jc w:val="left"/>
        <w:rPr>
          <w:b w:val="0"/>
        </w:rPr>
      </w:pPr>
      <w:bookmarkStart w:id="16" w:name="_Toc367357509"/>
      <w:r>
        <w:t xml:space="preserve">Graf č. </w:t>
      </w:r>
      <w:r w:rsidR="00EE3646">
        <w:fldChar w:fldCharType="begin"/>
      </w:r>
      <w:r w:rsidR="00EE3646">
        <w:instrText xml:space="preserve"> SEQ Graf_č. \* ARABIC </w:instrText>
      </w:r>
      <w:r w:rsidR="00EE3646">
        <w:fldChar w:fldCharType="separate"/>
      </w:r>
      <w:r w:rsidR="00B16210">
        <w:rPr>
          <w:noProof/>
        </w:rPr>
        <w:t>7</w:t>
      </w:r>
      <w:r w:rsidR="00EE3646">
        <w:rPr>
          <w:noProof/>
        </w:rPr>
        <w:fldChar w:fldCharType="end"/>
      </w:r>
      <w:r>
        <w:t xml:space="preserve">: </w:t>
      </w:r>
      <w:r w:rsidRPr="005B5206">
        <w:rPr>
          <w:b w:val="0"/>
        </w:rPr>
        <w:t>Vývoj počtu přistěhovalých osob na území Velkého Meziříčí v letech 2003-2012</w:t>
      </w:r>
      <w:r>
        <w:rPr>
          <w:b w:val="0"/>
        </w:rPr>
        <w:t>.</w:t>
      </w:r>
      <w:bookmarkEnd w:id="16"/>
    </w:p>
    <w:p w:rsidR="00E850E5" w:rsidRDefault="00622ED8" w:rsidP="00170E84">
      <w:pPr>
        <w:spacing w:before="0" w:after="200" w:line="276" w:lineRule="auto"/>
        <w:jc w:val="left"/>
        <w:rPr>
          <w:sz w:val="20"/>
        </w:rPr>
      </w:pPr>
      <w:r>
        <w:rPr>
          <w:noProof/>
          <w:lang w:eastAsia="cs-CZ"/>
        </w:rPr>
        <w:drawing>
          <wp:inline distT="0" distB="0" distL="0" distR="0" wp14:anchorId="6E036160" wp14:editId="12BB9C09">
            <wp:extent cx="5762847" cy="1967023"/>
            <wp:effectExtent l="0" t="0" r="9525" b="14605"/>
            <wp:docPr id="2048" name="Graf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6E2D" w:rsidRDefault="00306E2D" w:rsidP="00170E84">
      <w:pPr>
        <w:spacing w:before="0" w:after="200" w:line="276" w:lineRule="auto"/>
        <w:jc w:val="left"/>
        <w:rPr>
          <w:sz w:val="20"/>
        </w:rPr>
      </w:pPr>
    </w:p>
    <w:p w:rsidR="005B5206" w:rsidRPr="005B5206" w:rsidRDefault="005B5206" w:rsidP="005B5206">
      <w:pPr>
        <w:pStyle w:val="Titulek"/>
        <w:keepNext/>
        <w:jc w:val="left"/>
        <w:rPr>
          <w:b w:val="0"/>
        </w:rPr>
      </w:pPr>
      <w:bookmarkStart w:id="17" w:name="_Toc367357510"/>
      <w:r>
        <w:t xml:space="preserve">Graf č. </w:t>
      </w:r>
      <w:r w:rsidR="00EE3646">
        <w:fldChar w:fldCharType="begin"/>
      </w:r>
      <w:r w:rsidR="00EE3646">
        <w:instrText xml:space="preserve"> SEQ Graf_č. \* ARABIC </w:instrText>
      </w:r>
      <w:r w:rsidR="00EE3646">
        <w:fldChar w:fldCharType="separate"/>
      </w:r>
      <w:r w:rsidR="00B16210">
        <w:rPr>
          <w:noProof/>
        </w:rPr>
        <w:t>8</w:t>
      </w:r>
      <w:r w:rsidR="00EE3646">
        <w:rPr>
          <w:noProof/>
        </w:rPr>
        <w:fldChar w:fldCharType="end"/>
      </w:r>
      <w:r>
        <w:t xml:space="preserve">: </w:t>
      </w:r>
      <w:r w:rsidRPr="005B5206">
        <w:rPr>
          <w:b w:val="0"/>
        </w:rPr>
        <w:t>Vývoj počtu přistěhovalých osob na 1000 obyvatel Velkého Meziříčí v letech 2003-2012</w:t>
      </w:r>
      <w:r>
        <w:rPr>
          <w:b w:val="0"/>
        </w:rPr>
        <w:t>.</w:t>
      </w:r>
      <w:bookmarkEnd w:id="17"/>
    </w:p>
    <w:p w:rsidR="00245BA7" w:rsidRDefault="00245BA7" w:rsidP="00245BA7">
      <w:pPr>
        <w:spacing w:before="0" w:after="200" w:line="276" w:lineRule="auto"/>
        <w:jc w:val="left"/>
        <w:rPr>
          <w:b/>
          <w:color w:val="FF0000"/>
        </w:rPr>
      </w:pPr>
      <w:r>
        <w:rPr>
          <w:noProof/>
          <w:lang w:eastAsia="cs-CZ"/>
        </w:rPr>
        <w:drawing>
          <wp:inline distT="0" distB="0" distL="0" distR="0" wp14:anchorId="425DB7FF" wp14:editId="20688A5B">
            <wp:extent cx="5754414" cy="2112579"/>
            <wp:effectExtent l="0" t="0" r="17780" b="21590"/>
            <wp:docPr id="2050" name="Graf 2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73AAA" w:rsidRDefault="00E73AAA">
      <w:pPr>
        <w:spacing w:before="0" w:after="200" w:line="276" w:lineRule="auto"/>
        <w:jc w:val="left"/>
      </w:pPr>
    </w:p>
    <w:p w:rsidR="00AF331C" w:rsidRPr="00580D72" w:rsidRDefault="006954AA" w:rsidP="006954AA">
      <w:pPr>
        <w:spacing w:before="0" w:after="200" w:line="276" w:lineRule="auto"/>
      </w:pPr>
      <w:r>
        <w:t>Vývoj m</w:t>
      </w:r>
      <w:r w:rsidR="00580D72">
        <w:t>nožství vystěhovalých osob z Velkého Meziř</w:t>
      </w:r>
      <w:r w:rsidR="00777801">
        <w:t>íčí můžeme sledovat na grafu č. 9</w:t>
      </w:r>
      <w:r w:rsidR="00580D72">
        <w:t xml:space="preserve">. Počet </w:t>
      </w:r>
      <w:r w:rsidR="00A7581A">
        <w:t>vystěhovalých</w:t>
      </w:r>
      <w:r w:rsidR="00580D72">
        <w:t xml:space="preserve"> osob v</w:t>
      </w:r>
      <w:r w:rsidR="00BC699F">
        <w:t xml:space="preserve"> letech 2003-2012 zásadně neklesal, ani nevzrůstal. Nevyššího počtu vystěhovalých osob dosáhlo město v roce 2011, </w:t>
      </w:r>
      <w:r w:rsidR="005B7A09">
        <w:t>tedy 211 obyvatel</w:t>
      </w:r>
      <w:r w:rsidR="00BC699F">
        <w:t xml:space="preserve">.  Nejméně obyvatel se z Velkého Meziříčí vystěhovalo v roce 2005, </w:t>
      </w:r>
      <w:r w:rsidR="005B7A09">
        <w:t xml:space="preserve">to znamená 160 obyvatel. </w:t>
      </w:r>
      <w:r w:rsidR="00245BA7">
        <w:t xml:space="preserve">V přepočtu na 1000 obyvatel zaznamenává tento vývoj graf č. 10. </w:t>
      </w:r>
    </w:p>
    <w:p w:rsidR="005B5206" w:rsidRDefault="005B5206" w:rsidP="005B5206">
      <w:pPr>
        <w:pStyle w:val="Titulek"/>
        <w:keepNext/>
        <w:jc w:val="left"/>
      </w:pPr>
      <w:bookmarkStart w:id="18" w:name="_Toc367357511"/>
      <w:r>
        <w:t xml:space="preserve">Graf č. </w:t>
      </w:r>
      <w:r w:rsidR="00EE3646">
        <w:fldChar w:fldCharType="begin"/>
      </w:r>
      <w:r w:rsidR="00EE3646">
        <w:instrText xml:space="preserve"> SEQ Graf_č. \* ARABIC </w:instrText>
      </w:r>
      <w:r w:rsidR="00EE3646">
        <w:fldChar w:fldCharType="separate"/>
      </w:r>
      <w:r w:rsidR="00B16210">
        <w:rPr>
          <w:noProof/>
        </w:rPr>
        <w:t>9</w:t>
      </w:r>
      <w:r w:rsidR="00EE3646">
        <w:rPr>
          <w:noProof/>
        </w:rPr>
        <w:fldChar w:fldCharType="end"/>
      </w:r>
      <w:r>
        <w:t xml:space="preserve">: </w:t>
      </w:r>
      <w:r w:rsidRPr="005B5206">
        <w:rPr>
          <w:b w:val="0"/>
        </w:rPr>
        <w:t>Vývoj počtu vystěhovalých osob z území Velkého Meziříčí v letech 2003-2012</w:t>
      </w:r>
      <w:r>
        <w:rPr>
          <w:b w:val="0"/>
        </w:rPr>
        <w:t>.</w:t>
      </w:r>
      <w:bookmarkEnd w:id="18"/>
    </w:p>
    <w:p w:rsidR="00170E84" w:rsidRDefault="00622ED8" w:rsidP="00170E84">
      <w:pPr>
        <w:spacing w:before="0" w:after="200" w:line="276" w:lineRule="auto"/>
        <w:jc w:val="left"/>
        <w:rPr>
          <w:b/>
          <w:color w:val="FF0000"/>
        </w:rPr>
      </w:pPr>
      <w:r>
        <w:rPr>
          <w:noProof/>
          <w:lang w:eastAsia="cs-CZ"/>
        </w:rPr>
        <w:drawing>
          <wp:inline distT="0" distB="0" distL="0" distR="0" wp14:anchorId="65907AEE" wp14:editId="72C8ED4D">
            <wp:extent cx="5762847" cy="2030819"/>
            <wp:effectExtent l="0" t="0" r="9525" b="26670"/>
            <wp:docPr id="2051" name="Graf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5206" w:rsidRDefault="005B5206" w:rsidP="005B5206">
      <w:pPr>
        <w:pStyle w:val="Titulek"/>
        <w:keepNext/>
        <w:jc w:val="left"/>
      </w:pPr>
    </w:p>
    <w:p w:rsidR="005B5206" w:rsidRPr="005B5206" w:rsidRDefault="005B5206" w:rsidP="005B5206">
      <w:pPr>
        <w:pStyle w:val="Titulek"/>
        <w:keepNext/>
        <w:jc w:val="left"/>
        <w:rPr>
          <w:b w:val="0"/>
        </w:rPr>
      </w:pPr>
      <w:bookmarkStart w:id="19" w:name="_Toc367357512"/>
      <w:r>
        <w:t xml:space="preserve">Graf č. </w:t>
      </w:r>
      <w:r w:rsidR="00EE3646">
        <w:fldChar w:fldCharType="begin"/>
      </w:r>
      <w:r w:rsidR="00EE3646">
        <w:instrText xml:space="preserve"> SEQ Graf_č. \* ARABIC </w:instrText>
      </w:r>
      <w:r w:rsidR="00EE3646">
        <w:fldChar w:fldCharType="separate"/>
      </w:r>
      <w:r w:rsidR="00B16210">
        <w:rPr>
          <w:noProof/>
        </w:rPr>
        <w:t>10</w:t>
      </w:r>
      <w:r w:rsidR="00EE3646">
        <w:rPr>
          <w:noProof/>
        </w:rPr>
        <w:fldChar w:fldCharType="end"/>
      </w:r>
      <w:r>
        <w:t xml:space="preserve">: </w:t>
      </w:r>
      <w:r w:rsidRPr="005B5206">
        <w:rPr>
          <w:b w:val="0"/>
        </w:rPr>
        <w:t>Vývoj počtu vystěhovalých osob na 1000 obyvatel Velkého Meziříčí v letech 2003-2012</w:t>
      </w:r>
      <w:r>
        <w:rPr>
          <w:b w:val="0"/>
        </w:rPr>
        <w:t>.</w:t>
      </w:r>
      <w:bookmarkEnd w:id="19"/>
    </w:p>
    <w:p w:rsidR="00622ED8" w:rsidRDefault="00622ED8" w:rsidP="00170E84">
      <w:pPr>
        <w:spacing w:before="0" w:after="200" w:line="276" w:lineRule="auto"/>
        <w:jc w:val="left"/>
        <w:rPr>
          <w:sz w:val="20"/>
        </w:rPr>
      </w:pPr>
      <w:r>
        <w:rPr>
          <w:noProof/>
          <w:lang w:eastAsia="cs-CZ"/>
        </w:rPr>
        <w:drawing>
          <wp:inline distT="0" distB="0" distL="0" distR="0" wp14:anchorId="214491F2" wp14:editId="5E9FA4D6">
            <wp:extent cx="5754414" cy="1970690"/>
            <wp:effectExtent l="0" t="0" r="17780" b="10795"/>
            <wp:docPr id="2052" name="Graf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7801" w:rsidRDefault="00777801" w:rsidP="00F86745">
      <w:pPr>
        <w:spacing w:before="0" w:after="200" w:line="276" w:lineRule="auto"/>
      </w:pPr>
    </w:p>
    <w:p w:rsidR="00FA3EBE" w:rsidRPr="00FA3EBE" w:rsidRDefault="00FA3EBE" w:rsidP="00F86745">
      <w:pPr>
        <w:spacing w:before="0" w:after="200" w:line="276" w:lineRule="auto"/>
        <w:rPr>
          <w:b/>
          <w:color w:val="FF0000"/>
        </w:rPr>
      </w:pPr>
      <w:r>
        <w:t xml:space="preserve">Tzv. migrační saldo, tedy rozdíl mezi počtem přistěhovalých a vystěhovalých obyvatel, představuje graf č. 11. Z něj vyplývá, že v letech 2003-2012 dosáhlo migrační saldo pozitivních hodnot pouze třikrát. V roce 2005 byla jeho hodnota 32, </w:t>
      </w:r>
      <w:r w:rsidR="00F86745">
        <w:t>což znamená nejvyšší hodnotu ve zkoumaném období. V</w:t>
      </w:r>
      <w:r>
        <w:t xml:space="preserve"> roce </w:t>
      </w:r>
      <w:r w:rsidR="00A73C9A">
        <w:t>2006 klesla na hodnotu 2 a v roce 2008 opět vystoupala na 31. V ostatních letech se p</w:t>
      </w:r>
      <w:r w:rsidR="00C22789">
        <w:t xml:space="preserve">ohybovalo </w:t>
      </w:r>
      <w:r w:rsidR="00A73C9A">
        <w:t xml:space="preserve">v záporných hodnotách. </w:t>
      </w:r>
      <w:r w:rsidR="00F86745">
        <w:t>Nejnižší hodnotu migračního salda zaznamenalo město Velké Meziříčí v roce 2011, kdy úbytek obyvatel v rámc</w:t>
      </w:r>
      <w:r w:rsidR="003E04A0">
        <w:t>i migrace obyvatelstva činil 66 </w:t>
      </w:r>
      <w:r w:rsidR="00F86745">
        <w:t xml:space="preserve">osob. </w:t>
      </w:r>
    </w:p>
    <w:p w:rsidR="005B5206" w:rsidRDefault="005B5206" w:rsidP="005B5206">
      <w:pPr>
        <w:pStyle w:val="Titulek"/>
        <w:keepNext/>
        <w:jc w:val="left"/>
      </w:pPr>
      <w:bookmarkStart w:id="20" w:name="_Toc367357513"/>
      <w:r>
        <w:t xml:space="preserve">Graf č. </w:t>
      </w:r>
      <w:r w:rsidR="00EE3646">
        <w:fldChar w:fldCharType="begin"/>
      </w:r>
      <w:r w:rsidR="00EE3646">
        <w:instrText xml:space="preserve"> SEQ Graf_č. \* ARABIC </w:instrText>
      </w:r>
      <w:r w:rsidR="00EE3646">
        <w:fldChar w:fldCharType="separate"/>
      </w:r>
      <w:r w:rsidR="00B16210">
        <w:rPr>
          <w:noProof/>
        </w:rPr>
        <w:t>11</w:t>
      </w:r>
      <w:r w:rsidR="00EE3646">
        <w:rPr>
          <w:noProof/>
        </w:rPr>
        <w:fldChar w:fldCharType="end"/>
      </w:r>
      <w:r>
        <w:t xml:space="preserve">: </w:t>
      </w:r>
      <w:r w:rsidRPr="005B5206">
        <w:rPr>
          <w:b w:val="0"/>
        </w:rPr>
        <w:t>Vývoj migračního salda ve Velkém Meziříčí v letech 2003-2012</w:t>
      </w:r>
      <w:r>
        <w:rPr>
          <w:b w:val="0"/>
        </w:rPr>
        <w:t>.</w:t>
      </w:r>
      <w:bookmarkEnd w:id="20"/>
    </w:p>
    <w:p w:rsidR="00A37A8D" w:rsidRDefault="00FA3EBE" w:rsidP="00170E84">
      <w:pPr>
        <w:spacing w:before="0" w:after="200" w:line="276" w:lineRule="auto"/>
        <w:jc w:val="left"/>
        <w:rPr>
          <w:sz w:val="20"/>
        </w:rPr>
      </w:pPr>
      <w:r w:rsidRPr="00B47555">
        <w:rPr>
          <w:noProof/>
          <w:lang w:eastAsia="cs-CZ"/>
        </w:rPr>
        <w:drawing>
          <wp:inline distT="0" distB="0" distL="0" distR="0" wp14:anchorId="2D83A13A" wp14:editId="2DCCEEBC">
            <wp:extent cx="5752214" cy="2679405"/>
            <wp:effectExtent l="0" t="0" r="20320" b="26035"/>
            <wp:docPr id="2053" name="Graf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18CF" w:rsidRPr="002D0737" w:rsidRDefault="00A218CF" w:rsidP="00170E84">
      <w:pPr>
        <w:spacing w:before="0" w:after="200" w:line="276" w:lineRule="auto"/>
        <w:jc w:val="left"/>
        <w:rPr>
          <w:sz w:val="20"/>
        </w:rPr>
      </w:pPr>
    </w:p>
    <w:p w:rsidR="00170E84" w:rsidRDefault="00170E84" w:rsidP="00DD261D">
      <w:pPr>
        <w:pStyle w:val="Nadpis3"/>
      </w:pPr>
      <w:bookmarkStart w:id="21" w:name="_Toc367278140"/>
      <w:r>
        <w:t>SŇATEČNOST A ROZVODOVOST</w:t>
      </w:r>
      <w:bookmarkEnd w:id="21"/>
    </w:p>
    <w:p w:rsidR="00306E2D" w:rsidRPr="00306E2D" w:rsidRDefault="00306E2D" w:rsidP="00306E2D"/>
    <w:p w:rsidR="00BD529E" w:rsidRDefault="00F526B0" w:rsidP="00A218CF">
      <w:pPr>
        <w:spacing w:before="0" w:after="200" w:line="276" w:lineRule="auto"/>
      </w:pPr>
      <w:r>
        <w:t xml:space="preserve">Následující tabulka </w:t>
      </w:r>
      <w:r w:rsidR="00A218CF">
        <w:t xml:space="preserve">č. 1 </w:t>
      </w:r>
      <w:r>
        <w:t xml:space="preserve">znázorňuje počty uzavřených manželství na území města Velké Meziříčí v letech 2003 - 2012. Počet sňatků je sledován podle rodinného stavu snoubenců, tedy sňatky svobodných, rozvedených a ovdovělých. </w:t>
      </w:r>
      <w:r w:rsidR="00A218CF">
        <w:t xml:space="preserve">Dále tabulka věnuje pozornost počtu sňatků na 1000 obyvatel, tedy hrubé míře sňatečnosti. </w:t>
      </w:r>
    </w:p>
    <w:p w:rsidR="00BD529E" w:rsidRPr="00A431CB" w:rsidRDefault="00BB60E3" w:rsidP="000C76B9">
      <w:pPr>
        <w:spacing w:before="0" w:after="200" w:line="276" w:lineRule="auto"/>
      </w:pPr>
      <w:r>
        <w:t>Počet sňatků zaznamenal</w:t>
      </w:r>
      <w:r w:rsidR="00B47555">
        <w:t xml:space="preserve"> v období mezi lety 2003</w:t>
      </w:r>
      <w:r>
        <w:t>-</w:t>
      </w:r>
      <w:r w:rsidR="00EC4E85">
        <w:t xml:space="preserve">2012 dva zásadní poklesy, které jsou dobře viditelné i v grafu č. 12. </w:t>
      </w:r>
      <w:r>
        <w:t>V roce 2004 počet sezdaných párů klesl oproti roku 2003 o 22, to znamená ze 70 sňatků na 48. Druhé snížení město Velké Meziříčí vykázalo v roce 2012, kdy uzavřelo manželství nejméně párů za sledované období, tedy pouze 32 sňatků. Celkový úb</w:t>
      </w:r>
      <w:r w:rsidR="00B47555">
        <w:t>ytek počtu sňatků v letech 2003</w:t>
      </w:r>
      <w:r>
        <w:t xml:space="preserve">-2012 </w:t>
      </w:r>
      <w:r w:rsidR="00B51CDF">
        <w:t xml:space="preserve">činí 38. </w:t>
      </w:r>
    </w:p>
    <w:p w:rsidR="005B5206" w:rsidRDefault="005B5206" w:rsidP="005B5206">
      <w:pPr>
        <w:pStyle w:val="Titulek"/>
        <w:keepNext/>
        <w:jc w:val="left"/>
      </w:pPr>
      <w:bookmarkStart w:id="22" w:name="_Toc367794845"/>
      <w:r>
        <w:t xml:space="preserve">Tabulka č. </w:t>
      </w:r>
      <w:r w:rsidR="00EE3646">
        <w:fldChar w:fldCharType="begin"/>
      </w:r>
      <w:r w:rsidR="00EE3646">
        <w:instrText xml:space="preserve"> SEQ Tabulka_č. \* ARABIC </w:instrText>
      </w:r>
      <w:r w:rsidR="00EE3646">
        <w:fldChar w:fldCharType="separate"/>
      </w:r>
      <w:r w:rsidR="00594151">
        <w:rPr>
          <w:noProof/>
        </w:rPr>
        <w:t>1</w:t>
      </w:r>
      <w:r w:rsidR="00EE3646">
        <w:rPr>
          <w:noProof/>
        </w:rPr>
        <w:fldChar w:fldCharType="end"/>
      </w:r>
      <w:r>
        <w:t xml:space="preserve">: </w:t>
      </w:r>
      <w:r w:rsidRPr="005B5206">
        <w:rPr>
          <w:b w:val="0"/>
        </w:rPr>
        <w:t>Vývoj počtu sňatků uzavřených na území Velkého Meziříčí v letech 2003-2012</w:t>
      </w:r>
      <w:r w:rsidRPr="005B5206">
        <w:rPr>
          <w:rStyle w:val="Znakapoznpodarou"/>
          <w:b w:val="0"/>
        </w:rPr>
        <w:footnoteReference w:id="4"/>
      </w:r>
      <w:r>
        <w:rPr>
          <w:b w:val="0"/>
        </w:rPr>
        <w:t>.</w:t>
      </w:r>
      <w:bookmarkEnd w:id="22"/>
    </w:p>
    <w:p w:rsidR="00582453" w:rsidRDefault="00225724" w:rsidP="00582453">
      <w:pPr>
        <w:spacing w:before="0" w:after="200" w:line="276" w:lineRule="auto"/>
        <w:jc w:val="left"/>
        <w:rPr>
          <w:sz w:val="20"/>
        </w:rPr>
      </w:pPr>
      <w:r>
        <w:rPr>
          <w:noProof/>
          <w:sz w:val="20"/>
          <w:lang w:eastAsia="cs-CZ"/>
        </w:rPr>
        <w:drawing>
          <wp:inline distT="0" distB="0" distL="0" distR="0" wp14:anchorId="29EF72C6" wp14:editId="6212CC8D">
            <wp:extent cx="5847907" cy="1820076"/>
            <wp:effectExtent l="0" t="0" r="635" b="8890"/>
            <wp:docPr id="2074" name="Obrázek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9637" cy="1823727"/>
                    </a:xfrm>
                    <a:prstGeom prst="rect">
                      <a:avLst/>
                    </a:prstGeom>
                    <a:noFill/>
                  </pic:spPr>
                </pic:pic>
              </a:graphicData>
            </a:graphic>
          </wp:inline>
        </w:drawing>
      </w:r>
    </w:p>
    <w:p w:rsidR="00901CF1" w:rsidRDefault="0017544C" w:rsidP="00901CF1">
      <w:pPr>
        <w:spacing w:before="0" w:after="200" w:line="276" w:lineRule="auto"/>
      </w:pPr>
      <w:r>
        <w:t>Tabulka č. 2 dokumentuje vývoj počtu rozvedených manželství na území</w:t>
      </w:r>
      <w:r w:rsidR="00B47555">
        <w:t xml:space="preserve"> Velkého Meziříčí v letech 2003</w:t>
      </w:r>
      <w:r>
        <w:t xml:space="preserve">-2012. </w:t>
      </w:r>
      <w:r w:rsidR="00BC2AEF">
        <w:t>Počet rozvedeným manželství se zásadním způsobem ve zkoumaném období neměnil</w:t>
      </w:r>
      <w:r w:rsidR="00EC4E85">
        <w:t>, což lze vidět i na g</w:t>
      </w:r>
      <w:r w:rsidR="00B47555">
        <w:t>rafickém znázornění na grafu č. </w:t>
      </w:r>
      <w:r w:rsidR="00EC4E85">
        <w:t>12.</w:t>
      </w:r>
      <w:r w:rsidR="00901CF1">
        <w:t xml:space="preserve"> Nejvíce se rozvedlo manželství v roce 2010, a to 44. Oproti tomu nejméně rozvodů bylo uskutečněno v roce 2012, tedy 26 rozvodů. Dále je tento údaj uveden v přepočtu na 1000 obyvatel. </w:t>
      </w:r>
    </w:p>
    <w:p w:rsidR="00901CF1" w:rsidRDefault="000615D5" w:rsidP="00901CF1">
      <w:pPr>
        <w:spacing w:before="0" w:after="200" w:line="276" w:lineRule="auto"/>
      </w:pPr>
      <w:r>
        <w:t>V tabulce č. 2 je také zaznamenán</w:t>
      </w:r>
      <w:r w:rsidR="00901CF1">
        <w:t xml:space="preserve"> počet rozvedeným manželství s nezletilými dětmi</w:t>
      </w:r>
      <w:r w:rsidR="005D2EA7">
        <w:t>. Tato skutečnost je pro sociální služby ovlivňujícím faktorem hlavně pro oblast s cílovou skupinou rodina či osoby ohrožené sociálním vyloučením. P</w:t>
      </w:r>
      <w:r w:rsidR="00901CF1">
        <w:t xml:space="preserve">očet rozvodů na 100 </w:t>
      </w:r>
      <w:r w:rsidR="005D2EA7">
        <w:t>sňatků, tzv. index rozvodovosti je ukazatel, jehož</w:t>
      </w:r>
      <w:r w:rsidR="00901CF1">
        <w:t xml:space="preserve"> </w:t>
      </w:r>
      <w:r w:rsidR="005D2EA7">
        <w:t>vypovídající schopnost</w:t>
      </w:r>
      <w:r>
        <w:t xml:space="preserve"> je do jisté míry omezena podmínkou dostatečné stability počtu uzavíraných sňatků a dá se říci, že se jedná o zkreslující ukazatel, který je v rozporu s obecnou statistickou definicí indexu, protože čitatel a jmenovatel jsou jak věcně, tak časově odlišné. Přesto se v praxi a to i v zahraničí zcela běžně užívá.</w:t>
      </w:r>
      <w:r>
        <w:rPr>
          <w:rStyle w:val="Znakapoznpodarou"/>
        </w:rPr>
        <w:footnoteReference w:id="5"/>
      </w:r>
    </w:p>
    <w:p w:rsidR="009C2C39" w:rsidRPr="00901CF1" w:rsidRDefault="009C2C39" w:rsidP="00901CF1">
      <w:pPr>
        <w:spacing w:before="0" w:after="200" w:line="276" w:lineRule="auto"/>
      </w:pPr>
      <w:r>
        <w:t xml:space="preserve">Počet rozvodů na 100 sňatků tak zásadním způsobem stoupl v roce </w:t>
      </w:r>
      <w:r w:rsidR="00B47555">
        <w:t>2010 na 84,6 a </w:t>
      </w:r>
      <w:r w:rsidR="004C53EA">
        <w:t xml:space="preserve">v roce 2012 na 81,3. Nejmenší počet rozvedených manželství v přepočtu na 100 sňatků byl zaznamenán v roce 2003, tedy 45,7 rozvodů. </w:t>
      </w:r>
      <w:r w:rsidR="001D4749">
        <w:t xml:space="preserve">Tyto skutečnosti lze také vyčíst z grafu č. 13. </w:t>
      </w:r>
    </w:p>
    <w:p w:rsidR="00494725" w:rsidRDefault="00494725" w:rsidP="00494725">
      <w:pPr>
        <w:pStyle w:val="Titulek"/>
        <w:keepNext/>
        <w:jc w:val="left"/>
      </w:pPr>
      <w:bookmarkStart w:id="23" w:name="_Toc367794846"/>
      <w:r>
        <w:t xml:space="preserve">Tabulka č. </w:t>
      </w:r>
      <w:r w:rsidR="00EE3646">
        <w:fldChar w:fldCharType="begin"/>
      </w:r>
      <w:r w:rsidR="00EE3646">
        <w:instrText xml:space="preserve"> SEQ Tabulka_č. \* ARABIC </w:instrText>
      </w:r>
      <w:r w:rsidR="00EE3646">
        <w:fldChar w:fldCharType="separate"/>
      </w:r>
      <w:r w:rsidR="00594151">
        <w:rPr>
          <w:noProof/>
        </w:rPr>
        <w:t>2</w:t>
      </w:r>
      <w:r w:rsidR="00EE3646">
        <w:rPr>
          <w:noProof/>
        </w:rPr>
        <w:fldChar w:fldCharType="end"/>
      </w:r>
      <w:r>
        <w:t xml:space="preserve">: </w:t>
      </w:r>
      <w:r w:rsidRPr="00494725">
        <w:rPr>
          <w:b w:val="0"/>
        </w:rPr>
        <w:t>Vývoj počtu rozvedených manželství na území Velkého Meziříčí v letech 2003 - 2012</w:t>
      </w:r>
      <w:r w:rsidRPr="00494725">
        <w:rPr>
          <w:rStyle w:val="Znakapoznpodarou"/>
          <w:b w:val="0"/>
        </w:rPr>
        <w:footnoteReference w:id="6"/>
      </w:r>
      <w:r w:rsidRPr="00494725">
        <w:rPr>
          <w:b w:val="0"/>
        </w:rPr>
        <w:t>.</w:t>
      </w:r>
      <w:bookmarkEnd w:id="23"/>
    </w:p>
    <w:p w:rsidR="00A35569" w:rsidRPr="00EC4E85" w:rsidRDefault="00582453" w:rsidP="00652379">
      <w:pPr>
        <w:spacing w:before="0" w:after="200" w:line="276" w:lineRule="auto"/>
        <w:jc w:val="left"/>
        <w:rPr>
          <w:sz w:val="20"/>
        </w:rPr>
      </w:pPr>
      <w:r>
        <w:rPr>
          <w:b/>
          <w:noProof/>
          <w:color w:val="FF0000"/>
          <w:lang w:eastAsia="cs-CZ"/>
        </w:rPr>
        <w:drawing>
          <wp:inline distT="0" distB="0" distL="0" distR="0" wp14:anchorId="063E2706" wp14:editId="196BD6F1">
            <wp:extent cx="5847788" cy="935665"/>
            <wp:effectExtent l="0" t="0" r="635" b="0"/>
            <wp:docPr id="2058" name="Obráze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5383" cy="936880"/>
                    </a:xfrm>
                    <a:prstGeom prst="rect">
                      <a:avLst/>
                    </a:prstGeom>
                    <a:noFill/>
                  </pic:spPr>
                </pic:pic>
              </a:graphicData>
            </a:graphic>
          </wp:inline>
        </w:drawing>
      </w:r>
    </w:p>
    <w:p w:rsidR="00494725" w:rsidRDefault="00494725" w:rsidP="00494725">
      <w:pPr>
        <w:pStyle w:val="Titulek"/>
        <w:keepNext/>
        <w:jc w:val="left"/>
      </w:pPr>
      <w:bookmarkStart w:id="24" w:name="_Toc367357514"/>
      <w:r>
        <w:t xml:space="preserve">Graf č. </w:t>
      </w:r>
      <w:r w:rsidR="00EE3646">
        <w:fldChar w:fldCharType="begin"/>
      </w:r>
      <w:r w:rsidR="00EE3646">
        <w:instrText xml:space="preserve"> SEQ Graf_č. \* ARABIC </w:instrText>
      </w:r>
      <w:r w:rsidR="00EE3646">
        <w:fldChar w:fldCharType="separate"/>
      </w:r>
      <w:r w:rsidR="00B16210">
        <w:rPr>
          <w:noProof/>
        </w:rPr>
        <w:t>12</w:t>
      </w:r>
      <w:r w:rsidR="00EE3646">
        <w:rPr>
          <w:noProof/>
        </w:rPr>
        <w:fldChar w:fldCharType="end"/>
      </w:r>
      <w:r>
        <w:t xml:space="preserve">: </w:t>
      </w:r>
      <w:r w:rsidRPr="00494725">
        <w:rPr>
          <w:b w:val="0"/>
        </w:rPr>
        <w:t>Vývoj počtu sňatků a počtu rozvodů ve Velkém Meziříčí v letech 2003-2012</w:t>
      </w:r>
      <w:r>
        <w:rPr>
          <w:b w:val="0"/>
        </w:rPr>
        <w:t>.</w:t>
      </w:r>
      <w:bookmarkEnd w:id="24"/>
    </w:p>
    <w:p w:rsidR="00CE5BBD" w:rsidRDefault="00ED59B7" w:rsidP="00652379">
      <w:pPr>
        <w:spacing w:before="0" w:after="200" w:line="276" w:lineRule="auto"/>
        <w:jc w:val="left"/>
        <w:rPr>
          <w:b/>
          <w:color w:val="FF0000"/>
        </w:rPr>
      </w:pPr>
      <w:r>
        <w:rPr>
          <w:b/>
          <w:noProof/>
          <w:color w:val="FF0000"/>
          <w:lang w:eastAsia="cs-CZ"/>
        </w:rPr>
        <w:drawing>
          <wp:inline distT="0" distB="0" distL="0" distR="0" wp14:anchorId="59219325" wp14:editId="7816EA19">
            <wp:extent cx="5794745" cy="3200400"/>
            <wp:effectExtent l="0" t="0" r="15875" b="19050"/>
            <wp:docPr id="2077" name="Graf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73AAA" w:rsidRDefault="00E73AAA" w:rsidP="00494725">
      <w:pPr>
        <w:pStyle w:val="Titulek"/>
        <w:keepNext/>
        <w:jc w:val="left"/>
      </w:pPr>
    </w:p>
    <w:p w:rsidR="00E73AAA" w:rsidRDefault="00E73AAA" w:rsidP="00494725">
      <w:pPr>
        <w:pStyle w:val="Titulek"/>
        <w:keepNext/>
        <w:jc w:val="left"/>
      </w:pPr>
    </w:p>
    <w:p w:rsidR="00494725" w:rsidRDefault="00494725" w:rsidP="00494725">
      <w:pPr>
        <w:pStyle w:val="Titulek"/>
        <w:keepNext/>
        <w:jc w:val="left"/>
      </w:pPr>
      <w:bookmarkStart w:id="25" w:name="_Toc367357515"/>
      <w:r>
        <w:t xml:space="preserve">Graf č. </w:t>
      </w:r>
      <w:r w:rsidR="00EE3646">
        <w:fldChar w:fldCharType="begin"/>
      </w:r>
      <w:r w:rsidR="00EE3646">
        <w:instrText xml:space="preserve"> SEQ Graf_č. \* ARABIC </w:instrText>
      </w:r>
      <w:r w:rsidR="00EE3646">
        <w:fldChar w:fldCharType="separate"/>
      </w:r>
      <w:r w:rsidR="00B16210">
        <w:rPr>
          <w:noProof/>
        </w:rPr>
        <w:t>13</w:t>
      </w:r>
      <w:r w:rsidR="00EE3646">
        <w:rPr>
          <w:noProof/>
        </w:rPr>
        <w:fldChar w:fldCharType="end"/>
      </w:r>
      <w:r>
        <w:t xml:space="preserve">: </w:t>
      </w:r>
      <w:r w:rsidRPr="00494725">
        <w:rPr>
          <w:b w:val="0"/>
        </w:rPr>
        <w:t>Vývoj počtu rozvodů přepočtených na 100 sňatků ve Velkém Meziříčí v letech 2003-2012.</w:t>
      </w:r>
      <w:bookmarkEnd w:id="25"/>
    </w:p>
    <w:p w:rsidR="00ED59B7" w:rsidRDefault="00ED59B7" w:rsidP="00652379">
      <w:pPr>
        <w:spacing w:before="0" w:after="200" w:line="276" w:lineRule="auto"/>
        <w:jc w:val="left"/>
        <w:rPr>
          <w:sz w:val="20"/>
        </w:rPr>
      </w:pPr>
      <w:r>
        <w:rPr>
          <w:b/>
          <w:noProof/>
          <w:color w:val="FF0000"/>
          <w:lang w:eastAsia="cs-CZ"/>
        </w:rPr>
        <w:drawing>
          <wp:inline distT="0" distB="0" distL="0" distR="0" wp14:anchorId="221FC45C" wp14:editId="37BCB9E4">
            <wp:extent cx="5794745" cy="2849525"/>
            <wp:effectExtent l="0" t="0" r="15875" b="27305"/>
            <wp:docPr id="2076" name="Graf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94725" w:rsidRDefault="00494725">
      <w:pPr>
        <w:spacing w:before="0" w:after="200" w:line="276" w:lineRule="auto"/>
        <w:jc w:val="left"/>
        <w:rPr>
          <w:rFonts w:eastAsiaTheme="majorEastAsia" w:cstheme="majorBidi"/>
          <w:b/>
          <w:bCs/>
          <w:color w:val="548DD4" w:themeColor="text2" w:themeTint="99"/>
          <w:szCs w:val="26"/>
        </w:rPr>
      </w:pPr>
    </w:p>
    <w:p w:rsidR="00170E84" w:rsidRDefault="00170E84" w:rsidP="00DD261D">
      <w:pPr>
        <w:pStyle w:val="Nadpis3"/>
      </w:pPr>
      <w:bookmarkStart w:id="26" w:name="_Toc367278141"/>
      <w:r>
        <w:t>DÁVKY PRO OSOBY SE ZDRAVOTNÍM POSTIŽENÍM</w:t>
      </w:r>
      <w:bookmarkEnd w:id="26"/>
    </w:p>
    <w:p w:rsidR="00306E2D" w:rsidRPr="00306E2D" w:rsidRDefault="00306E2D" w:rsidP="00306E2D"/>
    <w:p w:rsidR="00D81030" w:rsidRDefault="00D81030" w:rsidP="00C07FDD">
      <w:pPr>
        <w:spacing w:before="0" w:after="200" w:line="276" w:lineRule="auto"/>
      </w:pPr>
      <w:r>
        <w:t xml:space="preserve">Osoby se zdravotním postižením jsou finančně podporovány pomocí peněžitých příspěvků </w:t>
      </w:r>
      <w:r w:rsidR="001C693B">
        <w:t xml:space="preserve">ze státního rozpočtu </w:t>
      </w:r>
      <w:r>
        <w:t>určených ke zmírnění sociálních důsledků</w:t>
      </w:r>
      <w:r w:rsidR="00C07FDD">
        <w:t xml:space="preserve"> jejich zdravotního postižení a k podpoře jejich sociálního začleňování.</w:t>
      </w:r>
      <w:r w:rsidR="00C07FDD">
        <w:rPr>
          <w:rStyle w:val="Znakapoznpodarou"/>
        </w:rPr>
        <w:footnoteReference w:id="7"/>
      </w:r>
      <w:r>
        <w:t xml:space="preserve"> </w:t>
      </w:r>
    </w:p>
    <w:p w:rsidR="00C07FDD" w:rsidRDefault="00C07FDD" w:rsidP="00C07FDD">
      <w:pPr>
        <w:spacing w:before="0" w:after="200" w:line="276" w:lineRule="auto"/>
      </w:pPr>
      <w:r>
        <w:t xml:space="preserve">Dle zákona se osobám </w:t>
      </w:r>
      <w:r w:rsidR="001C693B">
        <w:t xml:space="preserve">se zdravotním postižením </w:t>
      </w:r>
      <w:r>
        <w:t xml:space="preserve">poskytuje příspěvek na mobilitu, příspěvek na zvláštní pomůcku a příspěvek na péči. </w:t>
      </w:r>
      <w:r w:rsidR="001C693B">
        <w:t xml:space="preserve">V tabulce č. 3 je uveden počet žádostí o příspěvek na mobilitu a počet žádostí o příspěvek na péči podaných </w:t>
      </w:r>
      <w:r w:rsidR="00DD261D">
        <w:t>v </w:t>
      </w:r>
      <w:r w:rsidR="001C693B">
        <w:t>jednotlivých obcích s</w:t>
      </w:r>
      <w:r w:rsidR="00251816">
        <w:t> </w:t>
      </w:r>
      <w:r w:rsidR="001C693B">
        <w:t>rozš</w:t>
      </w:r>
      <w:r w:rsidR="00251816">
        <w:t>ířenou působností</w:t>
      </w:r>
      <w:r w:rsidR="00C50D06">
        <w:t xml:space="preserve"> v kraji Vysočina</w:t>
      </w:r>
      <w:r w:rsidR="00251816">
        <w:t xml:space="preserve"> za rok 2012. </w:t>
      </w:r>
    </w:p>
    <w:p w:rsidR="00622ED8" w:rsidRDefault="00D81030" w:rsidP="00C07FDD">
      <w:pPr>
        <w:spacing w:before="0" w:after="200" w:line="276" w:lineRule="auto"/>
      </w:pPr>
      <w:r>
        <w:t xml:space="preserve">Příspěvek na péči </w:t>
      </w:r>
      <w:r w:rsidR="00251816">
        <w:t xml:space="preserve">se </w:t>
      </w:r>
      <w:r>
        <w:t>poskytuje osobám závislým na pomoci jiné fyzické osoby za ú</w:t>
      </w:r>
      <w:r w:rsidR="001C693B">
        <w:t>čelem zajištění potřebné pomoci</w:t>
      </w:r>
      <w:r w:rsidR="00C07FDD">
        <w:t>.</w:t>
      </w:r>
      <w:r>
        <w:rPr>
          <w:rStyle w:val="Znakapoznpodarou"/>
        </w:rPr>
        <w:footnoteReference w:id="8"/>
      </w:r>
    </w:p>
    <w:p w:rsidR="00306E2D" w:rsidRDefault="00306E2D" w:rsidP="00C07FDD">
      <w:pPr>
        <w:spacing w:before="0" w:after="200" w:line="276" w:lineRule="auto"/>
      </w:pPr>
      <w:r>
        <w:t xml:space="preserve">Nárok na příspěvek na mobilitu má osoba starší 1 roku, která není schopna zvládat základní životní potřeby v oblasti mobility nebo orientace, opakovaně se v kalendářním měsíci dopravuje nebo je dopravována a nejsou jí poskytovány pobytové sociální služby v domově pro osoby se zdravotním postižením, v domově pro seniory, v domově se zvláštním režimem nebo ve zdravotnickém zařízení ústavní péče. </w:t>
      </w:r>
      <w:r>
        <w:rPr>
          <w:rStyle w:val="Znakapoznpodarou"/>
        </w:rPr>
        <w:footnoteReference w:id="9"/>
      </w:r>
    </w:p>
    <w:p w:rsidR="00494725" w:rsidRDefault="00494725" w:rsidP="00494725">
      <w:pPr>
        <w:pStyle w:val="Titulek"/>
        <w:keepNext/>
        <w:jc w:val="left"/>
      </w:pPr>
      <w:bookmarkStart w:id="27" w:name="_Toc367794847"/>
      <w:r>
        <w:t xml:space="preserve">Tabulka č. </w:t>
      </w:r>
      <w:r w:rsidR="00EE3646">
        <w:fldChar w:fldCharType="begin"/>
      </w:r>
      <w:r w:rsidR="00EE3646">
        <w:instrText xml:space="preserve"> SEQ Tabulka_č. \* ARABIC </w:instrText>
      </w:r>
      <w:r w:rsidR="00EE3646">
        <w:fldChar w:fldCharType="separate"/>
      </w:r>
      <w:r w:rsidR="00594151">
        <w:rPr>
          <w:noProof/>
        </w:rPr>
        <w:t>3</w:t>
      </w:r>
      <w:r w:rsidR="00EE3646">
        <w:rPr>
          <w:noProof/>
        </w:rPr>
        <w:fldChar w:fldCharType="end"/>
      </w:r>
      <w:r>
        <w:t xml:space="preserve">: </w:t>
      </w:r>
      <w:r w:rsidR="00A55865">
        <w:rPr>
          <w:b w:val="0"/>
        </w:rPr>
        <w:t>Počet žádostí o příspěvek na mobilitu a o příspěvek na péči</w:t>
      </w:r>
      <w:r w:rsidRPr="00494725">
        <w:rPr>
          <w:b w:val="0"/>
        </w:rPr>
        <w:t xml:space="preserve"> pro osoby se zdravotním postižením k 31. 12. 20</w:t>
      </w:r>
      <w:r w:rsidR="00A55865">
        <w:rPr>
          <w:b w:val="0"/>
        </w:rPr>
        <w:t>12 v jednotlivých obcích s rozšířenou působností v kraji Vysočina.</w:t>
      </w:r>
      <w:bookmarkEnd w:id="27"/>
      <w:r w:rsidR="00A55865">
        <w:rPr>
          <w:b w:val="0"/>
        </w:rPr>
        <w:t xml:space="preserve"> </w:t>
      </w:r>
    </w:p>
    <w:p w:rsidR="00622ED8" w:rsidRDefault="00622ED8" w:rsidP="00622ED8">
      <w:pPr>
        <w:spacing w:before="0" w:after="200" w:line="276" w:lineRule="auto"/>
        <w:jc w:val="left"/>
        <w:rPr>
          <w:sz w:val="20"/>
        </w:rPr>
      </w:pPr>
      <w:r>
        <w:rPr>
          <w:b/>
          <w:noProof/>
          <w:color w:val="FF0000"/>
          <w:lang w:eastAsia="cs-CZ"/>
        </w:rPr>
        <w:drawing>
          <wp:inline distT="0" distB="0" distL="0" distR="0" wp14:anchorId="5E3429B5" wp14:editId="1230E258">
            <wp:extent cx="5784112" cy="3692636"/>
            <wp:effectExtent l="0" t="0" r="7620" b="3175"/>
            <wp:docPr id="2054" name="Obráze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5671" cy="3693631"/>
                    </a:xfrm>
                    <a:prstGeom prst="rect">
                      <a:avLst/>
                    </a:prstGeom>
                    <a:noFill/>
                  </pic:spPr>
                </pic:pic>
              </a:graphicData>
            </a:graphic>
          </wp:inline>
        </w:drawing>
      </w:r>
    </w:p>
    <w:p w:rsidR="00306E2D" w:rsidRPr="00306E2D" w:rsidRDefault="00306E2D" w:rsidP="00622ED8">
      <w:pPr>
        <w:spacing w:before="0" w:after="200" w:line="276" w:lineRule="auto"/>
        <w:jc w:val="left"/>
        <w:rPr>
          <w:b/>
          <w:color w:val="FF0000"/>
        </w:rPr>
      </w:pPr>
      <w:r>
        <w:t>Tabulka č. 4 popisuje stejné ukazatele jako tabulka předchozí</w:t>
      </w:r>
      <w:r w:rsidR="00424CCF">
        <w:t xml:space="preserve"> za první polovinu roku 2013. </w:t>
      </w:r>
    </w:p>
    <w:p w:rsidR="00494725" w:rsidRPr="00494725" w:rsidRDefault="00494725" w:rsidP="00494725">
      <w:pPr>
        <w:pStyle w:val="Titulek"/>
        <w:keepNext/>
        <w:jc w:val="left"/>
        <w:rPr>
          <w:b w:val="0"/>
        </w:rPr>
      </w:pPr>
      <w:bookmarkStart w:id="28" w:name="_Toc367794848"/>
      <w:r>
        <w:t xml:space="preserve">Tabulka č. </w:t>
      </w:r>
      <w:r w:rsidR="00EE3646">
        <w:fldChar w:fldCharType="begin"/>
      </w:r>
      <w:r w:rsidR="00EE3646">
        <w:instrText xml:space="preserve"> SEQ Tabulka_č. \* ARABIC </w:instrText>
      </w:r>
      <w:r w:rsidR="00EE3646">
        <w:fldChar w:fldCharType="separate"/>
      </w:r>
      <w:r w:rsidR="00594151">
        <w:rPr>
          <w:noProof/>
        </w:rPr>
        <w:t>4</w:t>
      </w:r>
      <w:r w:rsidR="00EE3646">
        <w:rPr>
          <w:noProof/>
        </w:rPr>
        <w:fldChar w:fldCharType="end"/>
      </w:r>
      <w:r>
        <w:t xml:space="preserve">: </w:t>
      </w:r>
      <w:r w:rsidR="00A55865">
        <w:rPr>
          <w:b w:val="0"/>
        </w:rPr>
        <w:t>Počet žádostí o příspěvek na mobilitu a o příspěvek na péči</w:t>
      </w:r>
      <w:r w:rsidR="00A55865" w:rsidRPr="00494725">
        <w:rPr>
          <w:b w:val="0"/>
        </w:rPr>
        <w:t xml:space="preserve"> pro osoby s</w:t>
      </w:r>
      <w:r w:rsidR="00A55865">
        <w:rPr>
          <w:b w:val="0"/>
        </w:rPr>
        <w:t>e zdravotním postižením k 30. 6</w:t>
      </w:r>
      <w:r w:rsidR="00A55865" w:rsidRPr="00494725">
        <w:rPr>
          <w:b w:val="0"/>
        </w:rPr>
        <w:t>. 20</w:t>
      </w:r>
      <w:r w:rsidR="00A55865">
        <w:rPr>
          <w:b w:val="0"/>
        </w:rPr>
        <w:t>12 v jednotlivých obcích s rozšířenou působností v kraji Vysočina.</w:t>
      </w:r>
      <w:bookmarkEnd w:id="28"/>
    </w:p>
    <w:p w:rsidR="00622ED8" w:rsidRPr="00306E2D" w:rsidRDefault="00622ED8" w:rsidP="00626E73">
      <w:pPr>
        <w:pStyle w:val="Odstavecseseznamem"/>
        <w:spacing w:before="0" w:after="200" w:line="276" w:lineRule="auto"/>
        <w:ind w:left="0"/>
        <w:jc w:val="left"/>
        <w:rPr>
          <w:b/>
          <w:sz w:val="20"/>
        </w:rPr>
      </w:pPr>
      <w:r>
        <w:rPr>
          <w:b/>
          <w:noProof/>
          <w:lang w:eastAsia="cs-CZ"/>
        </w:rPr>
        <w:drawing>
          <wp:inline distT="0" distB="0" distL="0" distR="0" wp14:anchorId="7867F86C" wp14:editId="47B238C0">
            <wp:extent cx="5767422" cy="3705225"/>
            <wp:effectExtent l="0" t="0" r="5080" b="0"/>
            <wp:docPr id="2055" name="Obráze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1666" cy="3707951"/>
                    </a:xfrm>
                    <a:prstGeom prst="rect">
                      <a:avLst/>
                    </a:prstGeom>
                    <a:noFill/>
                  </pic:spPr>
                </pic:pic>
              </a:graphicData>
            </a:graphic>
          </wp:inline>
        </w:drawing>
      </w:r>
    </w:p>
    <w:p w:rsidR="00AE17C3" w:rsidRDefault="00AE17C3" w:rsidP="00DD261D">
      <w:pPr>
        <w:pStyle w:val="Nadpis2"/>
      </w:pPr>
      <w:bookmarkStart w:id="29" w:name="_Toc367278142"/>
      <w:r>
        <w:t>ANALÝZA POSKYTOVATELŮ SOCIÁLNÍCH SLUŽEB</w:t>
      </w:r>
      <w:bookmarkEnd w:id="29"/>
    </w:p>
    <w:p w:rsidR="00E916F2" w:rsidRPr="00E916F2" w:rsidRDefault="00E916F2" w:rsidP="00E916F2">
      <w:r>
        <w:t>Analýza byla realizována prostřednictvím záznamových archů, které byly sbírány korespondenční formou</w:t>
      </w:r>
      <w:r w:rsidR="00B146C3">
        <w:t xml:space="preserve"> (elektronicky – forma e-mailu)</w:t>
      </w:r>
      <w:r>
        <w:t xml:space="preserve">. Záznamový arch byl určen kompetentním osobám </w:t>
      </w:r>
      <w:r w:rsidR="00B146C3">
        <w:t xml:space="preserve">registrovaných </w:t>
      </w:r>
      <w:r>
        <w:t>poskytovatelů</w:t>
      </w:r>
      <w:r w:rsidR="00B146C3">
        <w:t xml:space="preserve"> sociálních služeb. Důraz byl položen na identifikační údaje služby, </w:t>
      </w:r>
      <w:r>
        <w:t>rozsah</w:t>
      </w:r>
      <w:r w:rsidR="00B146C3">
        <w:t xml:space="preserve"> poskytovaných služeb</w:t>
      </w:r>
      <w:r>
        <w:t>,</w:t>
      </w:r>
      <w:r w:rsidR="00B146C3">
        <w:t xml:space="preserve"> zaměření na cílovou skupinu uživatelů,</w:t>
      </w:r>
      <w:r>
        <w:t xml:space="preserve"> územní působnost</w:t>
      </w:r>
      <w:r w:rsidR="00B146C3">
        <w:t xml:space="preserve"> služby</w:t>
      </w:r>
      <w:r>
        <w:t>, záměry rozvoje a</w:t>
      </w:r>
      <w:r w:rsidR="00B146C3">
        <w:t>td</w:t>
      </w:r>
      <w:r>
        <w:t xml:space="preserve">. </w:t>
      </w:r>
    </w:p>
    <w:p w:rsidR="007A4C99" w:rsidRDefault="007A4C99" w:rsidP="00DD261D">
      <w:pPr>
        <w:pStyle w:val="Nadpis3"/>
      </w:pPr>
      <w:bookmarkStart w:id="30" w:name="_Toc367278143"/>
      <w:r>
        <w:t>TYP</w:t>
      </w:r>
      <w:r w:rsidR="00AE17C3">
        <w:t>Y SOCIÁLNÍCH SLUŽEB A FORMY JEJ</w:t>
      </w:r>
      <w:r>
        <w:t>ICH POSKYTOVÁNÍ</w:t>
      </w:r>
      <w:bookmarkEnd w:id="30"/>
    </w:p>
    <w:p w:rsidR="007A4C99" w:rsidRPr="00C50D06" w:rsidRDefault="007A4C99" w:rsidP="007A4C99">
      <w:r w:rsidRPr="00C50D06">
        <w:rPr>
          <w:bCs/>
        </w:rPr>
        <w:t>Podle registru poskytovatelů sociálních služeb působí ve Velkém Meziříčí</w:t>
      </w:r>
      <w:r w:rsidR="00DD261D">
        <w:rPr>
          <w:bCs/>
        </w:rPr>
        <w:t>:</w:t>
      </w:r>
    </w:p>
    <w:p w:rsidR="007A4C99" w:rsidRPr="00C50D06" w:rsidRDefault="007A4C99" w:rsidP="000D1D74">
      <w:pPr>
        <w:numPr>
          <w:ilvl w:val="2"/>
          <w:numId w:val="4"/>
        </w:numPr>
        <w:tabs>
          <w:tab w:val="clear" w:pos="2160"/>
          <w:tab w:val="num" w:pos="-5808"/>
        </w:tabs>
        <w:ind w:left="1068"/>
        <w:rPr>
          <w:b/>
        </w:rPr>
      </w:pPr>
      <w:r w:rsidRPr="00C50D06">
        <w:rPr>
          <w:b/>
          <w:bCs/>
        </w:rPr>
        <w:t>SLUŽBY SOCIÁLNÍ PÉČE - 9 poskytovatelů</w:t>
      </w:r>
    </w:p>
    <w:p w:rsidR="007A4C99" w:rsidRPr="00E916F2" w:rsidRDefault="007A4C99" w:rsidP="000D1D74">
      <w:pPr>
        <w:numPr>
          <w:ilvl w:val="3"/>
          <w:numId w:val="4"/>
        </w:numPr>
        <w:tabs>
          <w:tab w:val="clear" w:pos="2880"/>
          <w:tab w:val="num" w:pos="-5412"/>
        </w:tabs>
        <w:ind w:left="1788"/>
        <w:rPr>
          <w:sz w:val="20"/>
        </w:rPr>
      </w:pPr>
      <w:r w:rsidRPr="00E916F2">
        <w:rPr>
          <w:bCs/>
          <w:i/>
          <w:iCs/>
          <w:sz w:val="20"/>
        </w:rPr>
        <w:t>Sociální služby města Velké Meziříčí, Hospicové hnutí – Vysočina, o.s., Ústav sociální péče Křižanov, příspěvková organizace, Domov pro seniory Velké Meziříčí, p.o., Domácí hospicová péče Oblastní charita Žďár nad Sázav</w:t>
      </w:r>
      <w:r w:rsidR="00F0737E">
        <w:rPr>
          <w:bCs/>
          <w:i/>
          <w:iCs/>
          <w:sz w:val="20"/>
        </w:rPr>
        <w:t xml:space="preserve">ou, Nesa </w:t>
      </w:r>
      <w:r w:rsidR="00F0737E">
        <w:rPr>
          <w:bCs/>
          <w:i/>
          <w:iCs/>
          <w:sz w:val="20"/>
        </w:rPr>
        <w:noBreakHyphen/>
        <w:t xml:space="preserve"> </w:t>
      </w:r>
      <w:r w:rsidRPr="00E916F2">
        <w:rPr>
          <w:bCs/>
          <w:i/>
          <w:iCs/>
          <w:sz w:val="20"/>
        </w:rPr>
        <w:t>denní stacionář, Osobní asistence Velké Meziříčí, Charitní ošetřovatelská služba Žďár nad Sázavou, Centrum Kociánka (Dětské středisko Březejc)</w:t>
      </w:r>
      <w:r w:rsidRPr="00E916F2">
        <w:rPr>
          <w:rStyle w:val="Znakapoznpodarou"/>
          <w:bCs/>
          <w:i/>
          <w:iCs/>
          <w:sz w:val="20"/>
        </w:rPr>
        <w:footnoteReference w:id="10"/>
      </w:r>
      <w:r w:rsidR="00D822DB">
        <w:rPr>
          <w:bCs/>
          <w:i/>
          <w:iCs/>
          <w:sz w:val="20"/>
        </w:rPr>
        <w:t>, Zdeňka Lancmanová osobní asistent - pečovatel</w:t>
      </w:r>
    </w:p>
    <w:p w:rsidR="007A4C99" w:rsidRPr="00C50D06" w:rsidRDefault="007A4C99" w:rsidP="000D1D74">
      <w:pPr>
        <w:numPr>
          <w:ilvl w:val="2"/>
          <w:numId w:val="4"/>
        </w:numPr>
        <w:tabs>
          <w:tab w:val="clear" w:pos="2160"/>
          <w:tab w:val="num" w:pos="-4332"/>
        </w:tabs>
        <w:ind w:left="1068"/>
        <w:rPr>
          <w:b/>
        </w:rPr>
      </w:pPr>
      <w:r w:rsidRPr="00C50D06">
        <w:rPr>
          <w:b/>
          <w:bCs/>
        </w:rPr>
        <w:t>SLUŽBY SOCIÁLNÍ PREVENCE – 10 poskytovatelů</w:t>
      </w:r>
    </w:p>
    <w:p w:rsidR="007A4C99" w:rsidRPr="00E916F2" w:rsidRDefault="007A4C99" w:rsidP="000D1D74">
      <w:pPr>
        <w:numPr>
          <w:ilvl w:val="3"/>
          <w:numId w:val="4"/>
        </w:numPr>
        <w:tabs>
          <w:tab w:val="clear" w:pos="2880"/>
          <w:tab w:val="num" w:pos="-3228"/>
        </w:tabs>
        <w:ind w:left="1788"/>
        <w:rPr>
          <w:sz w:val="20"/>
        </w:rPr>
      </w:pPr>
      <w:r w:rsidRPr="00E916F2">
        <w:rPr>
          <w:bCs/>
          <w:i/>
          <w:iCs/>
          <w:sz w:val="20"/>
        </w:rPr>
        <w:t xml:space="preserve">Liga vozíčkářů, Středisko rané péče Třebíč, K – centrum Noe Třebíč, ZO Neslyšících a nedoslýchavých Velké Meziříčí, Wellmez – nízkoprahové zařízení pro děti a mládež, Centrum prevence Oblastní charity Žďár nad Sázavou, Kopretina - centrum pro rodiče s dětmi ve Velkém Meziříčí, Klub v 9 - centrum služeb pro podporu duševního zdraví, Sociálně </w:t>
      </w:r>
      <w:r w:rsidR="00F0737E">
        <w:rPr>
          <w:bCs/>
          <w:i/>
          <w:iCs/>
          <w:sz w:val="20"/>
        </w:rPr>
        <w:t>aktivizační služby pro rodiny s </w:t>
      </w:r>
      <w:r w:rsidRPr="00E916F2">
        <w:rPr>
          <w:bCs/>
          <w:i/>
          <w:iCs/>
          <w:sz w:val="20"/>
        </w:rPr>
        <w:t>dětmi Žďár nad Sázavou, Centrum Kociánka (Dětské středisko Březejc)</w:t>
      </w:r>
    </w:p>
    <w:p w:rsidR="007A4C99" w:rsidRPr="00C50D06" w:rsidRDefault="007A4C99" w:rsidP="000D1D74">
      <w:pPr>
        <w:numPr>
          <w:ilvl w:val="2"/>
          <w:numId w:val="4"/>
        </w:numPr>
        <w:tabs>
          <w:tab w:val="clear" w:pos="2160"/>
          <w:tab w:val="num" w:pos="-2856"/>
        </w:tabs>
        <w:ind w:left="1068"/>
        <w:rPr>
          <w:b/>
        </w:rPr>
      </w:pPr>
      <w:r w:rsidRPr="00C50D06">
        <w:rPr>
          <w:b/>
          <w:bCs/>
        </w:rPr>
        <w:t>SLUŽBY ODBORNÉHO SOCIÁLNÍHO PORADENSTVÍ – 1 poskytovatel</w:t>
      </w:r>
    </w:p>
    <w:p w:rsidR="007A4C99" w:rsidRPr="00E916F2" w:rsidRDefault="007A4C99" w:rsidP="000D1D74">
      <w:pPr>
        <w:numPr>
          <w:ilvl w:val="3"/>
          <w:numId w:val="4"/>
        </w:numPr>
        <w:tabs>
          <w:tab w:val="clear" w:pos="2880"/>
          <w:tab w:val="num" w:pos="-336"/>
        </w:tabs>
        <w:ind w:left="1788"/>
        <w:rPr>
          <w:sz w:val="20"/>
        </w:rPr>
      </w:pPr>
      <w:r w:rsidRPr="00E916F2">
        <w:rPr>
          <w:bCs/>
          <w:i/>
          <w:iCs/>
          <w:sz w:val="20"/>
        </w:rPr>
        <w:t>Občanská poradna Žďár nad Sázavou</w:t>
      </w:r>
    </w:p>
    <w:p w:rsidR="007A4C99" w:rsidRDefault="007A4C99" w:rsidP="007A4C99">
      <w:pPr>
        <w:rPr>
          <w:color w:val="FF0000"/>
        </w:rPr>
      </w:pPr>
    </w:p>
    <w:p w:rsidR="007A4C99" w:rsidRPr="00C50D06" w:rsidRDefault="007A4C99" w:rsidP="007A4C99">
      <w:r>
        <w:rPr>
          <w:bCs/>
        </w:rPr>
        <w:t>F</w:t>
      </w:r>
      <w:r w:rsidRPr="00C50D06">
        <w:rPr>
          <w:bCs/>
        </w:rPr>
        <w:t>orm</w:t>
      </w:r>
      <w:r w:rsidR="00DD261D">
        <w:rPr>
          <w:bCs/>
        </w:rPr>
        <w:t>y poskytování sociálních služeb:</w:t>
      </w:r>
    </w:p>
    <w:p w:rsidR="007A4C99" w:rsidRPr="008F1873" w:rsidRDefault="007A4C99" w:rsidP="000D1D74">
      <w:pPr>
        <w:numPr>
          <w:ilvl w:val="2"/>
          <w:numId w:val="5"/>
        </w:numPr>
        <w:tabs>
          <w:tab w:val="clear" w:pos="2160"/>
          <w:tab w:val="num" w:pos="1068"/>
        </w:tabs>
        <w:ind w:left="1068"/>
        <w:rPr>
          <w:b/>
        </w:rPr>
      </w:pPr>
      <w:r w:rsidRPr="008F1873">
        <w:rPr>
          <w:b/>
          <w:bCs/>
        </w:rPr>
        <w:t>POBYTOVÉ - 3 poskytovatelé</w:t>
      </w:r>
    </w:p>
    <w:p w:rsidR="007A4C99" w:rsidRPr="00E916F2" w:rsidRDefault="007A4C99" w:rsidP="000D1D74">
      <w:pPr>
        <w:numPr>
          <w:ilvl w:val="3"/>
          <w:numId w:val="5"/>
        </w:numPr>
        <w:ind w:left="1788"/>
        <w:rPr>
          <w:sz w:val="20"/>
        </w:rPr>
      </w:pPr>
      <w:r w:rsidRPr="00E916F2">
        <w:rPr>
          <w:bCs/>
          <w:i/>
          <w:iCs/>
          <w:sz w:val="20"/>
        </w:rPr>
        <w:t>Ústav sociální péče Křižanov, příspěvková organizace, Domov pro seniory Velké Meziříčí, p.o., Centrum Kociánka (Dětské středisko Březejc)</w:t>
      </w:r>
    </w:p>
    <w:p w:rsidR="007A4C99" w:rsidRPr="008F1873" w:rsidRDefault="007A4C99" w:rsidP="000D1D74">
      <w:pPr>
        <w:numPr>
          <w:ilvl w:val="2"/>
          <w:numId w:val="5"/>
        </w:numPr>
        <w:ind w:left="1068"/>
        <w:rPr>
          <w:b/>
        </w:rPr>
      </w:pPr>
      <w:r w:rsidRPr="008F1873">
        <w:rPr>
          <w:b/>
          <w:bCs/>
        </w:rPr>
        <w:t>AMBULANTNÍ - 3 poskytovatelé</w:t>
      </w:r>
    </w:p>
    <w:p w:rsidR="007A4C99" w:rsidRPr="00E916F2" w:rsidRDefault="007A4C99" w:rsidP="000D1D74">
      <w:pPr>
        <w:numPr>
          <w:ilvl w:val="3"/>
          <w:numId w:val="5"/>
        </w:numPr>
        <w:ind w:left="1788"/>
        <w:rPr>
          <w:sz w:val="20"/>
        </w:rPr>
      </w:pPr>
      <w:r w:rsidRPr="00E916F2">
        <w:rPr>
          <w:bCs/>
          <w:i/>
          <w:iCs/>
          <w:sz w:val="20"/>
        </w:rPr>
        <w:t xml:space="preserve">Občanská poradna Žďár nad Sázavou, Nesa - denní stacionář, </w:t>
      </w:r>
      <w:r w:rsidR="00F0737E">
        <w:rPr>
          <w:bCs/>
          <w:i/>
          <w:iCs/>
          <w:sz w:val="20"/>
        </w:rPr>
        <w:t>ZO Neslyšících a </w:t>
      </w:r>
      <w:r w:rsidRPr="00E916F2">
        <w:rPr>
          <w:bCs/>
          <w:i/>
          <w:iCs/>
          <w:sz w:val="20"/>
        </w:rPr>
        <w:t>nedoslýchavých Velké Meziříčí</w:t>
      </w:r>
    </w:p>
    <w:p w:rsidR="007A4C99" w:rsidRPr="008F1873" w:rsidRDefault="007A4C99" w:rsidP="000D1D74">
      <w:pPr>
        <w:numPr>
          <w:ilvl w:val="2"/>
          <w:numId w:val="5"/>
        </w:numPr>
        <w:ind w:left="1068"/>
        <w:rPr>
          <w:b/>
        </w:rPr>
      </w:pPr>
      <w:r w:rsidRPr="008F1873">
        <w:rPr>
          <w:b/>
          <w:bCs/>
        </w:rPr>
        <w:t>TERÉNNÍ - 8 poskytovatelů</w:t>
      </w:r>
    </w:p>
    <w:p w:rsidR="007A4C99" w:rsidRPr="00E916F2" w:rsidRDefault="007A4C99" w:rsidP="000D1D74">
      <w:pPr>
        <w:numPr>
          <w:ilvl w:val="3"/>
          <w:numId w:val="5"/>
        </w:numPr>
        <w:ind w:left="1788"/>
        <w:rPr>
          <w:sz w:val="20"/>
        </w:rPr>
      </w:pPr>
      <w:r w:rsidRPr="00C50D06">
        <w:rPr>
          <w:bCs/>
          <w:i/>
          <w:iCs/>
        </w:rPr>
        <w:t>H</w:t>
      </w:r>
      <w:r w:rsidRPr="00E916F2">
        <w:rPr>
          <w:bCs/>
          <w:i/>
          <w:iCs/>
          <w:sz w:val="20"/>
        </w:rPr>
        <w:t>ospicové hnutí – Vysočina, o.s., Středisko rané péče Třebíč, Centrum prevence Oblastní charity Žďár nad Sázavou, Domácí hospicová péče Oblastní charita Žďár nad Sázavou, Kopretina - centrum pro rodiče s dětmi ve Velkém Meziříčí, Osobní asistence Velké Meziříčí, Sociálně aktivizační služby pro rodiny s dětmi Žďár nad Sázavou, Charitní ošetřovatelská služba Žďár nad Sázavou</w:t>
      </w:r>
    </w:p>
    <w:p w:rsidR="007A4C99" w:rsidRPr="008F1873" w:rsidRDefault="007A4C99" w:rsidP="000D1D74">
      <w:pPr>
        <w:numPr>
          <w:ilvl w:val="2"/>
          <w:numId w:val="5"/>
        </w:numPr>
        <w:ind w:left="1068"/>
        <w:rPr>
          <w:b/>
        </w:rPr>
      </w:pPr>
      <w:r w:rsidRPr="008F1873">
        <w:rPr>
          <w:b/>
          <w:bCs/>
        </w:rPr>
        <w:t>AMBULATNÍ + TERÉNNÍ - 5 poskytovatelů</w:t>
      </w:r>
    </w:p>
    <w:p w:rsidR="007A4C99" w:rsidRPr="00E916F2" w:rsidRDefault="007A4C99" w:rsidP="000D1D74">
      <w:pPr>
        <w:numPr>
          <w:ilvl w:val="3"/>
          <w:numId w:val="5"/>
        </w:numPr>
        <w:ind w:left="1788"/>
        <w:rPr>
          <w:sz w:val="20"/>
        </w:rPr>
      </w:pPr>
      <w:r w:rsidRPr="00E916F2">
        <w:rPr>
          <w:bCs/>
          <w:i/>
          <w:iCs/>
          <w:sz w:val="20"/>
        </w:rPr>
        <w:t>Liga vozíčkářů, Sociální služby města Velké Meziříčí, K – centrum Noe Třebíč, Wellmez – nízkoprahové zařízení pro děti a mládež, Klub v 9 - centrum služeb pro podporu duševního zdraví</w:t>
      </w:r>
    </w:p>
    <w:p w:rsidR="007A4C99" w:rsidRPr="007A4C99" w:rsidRDefault="007A4C99" w:rsidP="00DD261D">
      <w:pPr>
        <w:pStyle w:val="Nadpis3"/>
      </w:pPr>
      <w:bookmarkStart w:id="31" w:name="_Toc367278144"/>
      <w:r w:rsidRPr="007A4C99">
        <w:t>PŘEHLED SOCIÁLNÍCH SLUŽEB</w:t>
      </w:r>
      <w:bookmarkEnd w:id="31"/>
    </w:p>
    <w:p w:rsidR="000D1D74" w:rsidRPr="00DD261D" w:rsidRDefault="007A4C99" w:rsidP="00DD261D">
      <w:pPr>
        <w:pStyle w:val="Nadpis4"/>
        <w:numPr>
          <w:ilvl w:val="4"/>
          <w:numId w:val="31"/>
        </w:numPr>
        <w:ind w:left="1418"/>
        <w:jc w:val="left"/>
      </w:pPr>
      <w:bookmarkStart w:id="32" w:name="_Toc367278145"/>
      <w:r w:rsidRPr="00DD261D">
        <w:t>Služby sociální péč</w:t>
      </w:r>
      <w:r w:rsidR="00996CAC" w:rsidRPr="00DD261D">
        <w:t>e</w:t>
      </w:r>
      <w:bookmarkEnd w:id="32"/>
    </w:p>
    <w:p w:rsidR="00996CAC" w:rsidRPr="00996CAC" w:rsidRDefault="00996CAC" w:rsidP="00996CAC"/>
    <w:p w:rsidR="007A4C99" w:rsidRPr="00DD261D" w:rsidRDefault="007A4C99" w:rsidP="00996CAC">
      <w:pPr>
        <w:pStyle w:val="Nadpis4"/>
      </w:pPr>
      <w:bookmarkStart w:id="33" w:name="_Toc367278146"/>
      <w:r w:rsidRPr="00DD261D">
        <w:t>Sociální služby města Velké Meziříčí</w:t>
      </w:r>
      <w:bookmarkEnd w:id="33"/>
    </w:p>
    <w:p w:rsidR="00D22F26" w:rsidRDefault="001A7100" w:rsidP="00D22F26">
      <w:r>
        <w:t xml:space="preserve">Posláním sociálních služeb města Velké Meziříčí je poskytování terénní a </w:t>
      </w:r>
      <w:r w:rsidR="000D1D74">
        <w:t xml:space="preserve">ambulantní sociální služby lidem, kteří se ocitli v nepříznivé sociální situaci a nemohou si z důvodu vysokého věku, nepříznivého zdravotního stavu či sociální situace zajistit péči o vlastní osobu nebo domácnost. </w:t>
      </w:r>
    </w:p>
    <w:p w:rsidR="001A7100" w:rsidRPr="00D22F26" w:rsidRDefault="001A7100" w:rsidP="00D22F26"/>
    <w:p w:rsidR="006357FA" w:rsidRPr="006357FA" w:rsidRDefault="006357FA" w:rsidP="006357FA">
      <w:pPr>
        <w:pStyle w:val="Titulek"/>
        <w:keepNext/>
        <w:rPr>
          <w:b w:val="0"/>
        </w:rPr>
      </w:pPr>
      <w:bookmarkStart w:id="34" w:name="_Toc367794849"/>
      <w:r>
        <w:t xml:space="preserve">Tabulka č. </w:t>
      </w:r>
      <w:r w:rsidR="00EE3646">
        <w:fldChar w:fldCharType="begin"/>
      </w:r>
      <w:r w:rsidR="00EE3646">
        <w:instrText xml:space="preserve"> SEQ Tabulka_č. \* ARABIC </w:instrText>
      </w:r>
      <w:r w:rsidR="00EE3646">
        <w:fldChar w:fldCharType="separate"/>
      </w:r>
      <w:r w:rsidR="00594151">
        <w:rPr>
          <w:noProof/>
        </w:rPr>
        <w:t>5</w:t>
      </w:r>
      <w:r w:rsidR="00EE3646">
        <w:rPr>
          <w:noProof/>
        </w:rPr>
        <w:fldChar w:fldCharType="end"/>
      </w:r>
      <w:r>
        <w:t xml:space="preserve">: </w:t>
      </w:r>
      <w:r>
        <w:rPr>
          <w:b w:val="0"/>
        </w:rPr>
        <w:t>Sociální služby města Velké Meziříčí</w:t>
      </w:r>
      <w:bookmarkEnd w:id="34"/>
    </w:p>
    <w:tbl>
      <w:tblPr>
        <w:tblStyle w:val="Stednmka1zvraznn1"/>
        <w:tblW w:w="9180" w:type="dxa"/>
        <w:tblLook w:val="04A0" w:firstRow="1" w:lastRow="0" w:firstColumn="1" w:lastColumn="0" w:noHBand="0" w:noVBand="1"/>
      </w:tblPr>
      <w:tblGrid>
        <w:gridCol w:w="2376"/>
        <w:gridCol w:w="6804"/>
      </w:tblGrid>
      <w:tr w:rsidR="00565EDB" w:rsidRPr="00565EDB" w:rsidTr="0056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Název</w:t>
            </w:r>
          </w:p>
        </w:tc>
        <w:tc>
          <w:tcPr>
            <w:tcW w:w="6804" w:type="dxa"/>
          </w:tcPr>
          <w:p w:rsidR="00565EDB" w:rsidRPr="00565EDB" w:rsidRDefault="00565EDB" w:rsidP="00565EDB">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Sociální služby města Velké Meziříčí</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Adresa</w:t>
            </w:r>
          </w:p>
        </w:tc>
        <w:tc>
          <w:tcPr>
            <w:tcW w:w="6804" w:type="dxa"/>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Zdenky Vorlové 2001</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594 01 Velké Meziříčí</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Kontakt</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Mgr. Jana Jurková – ředitelka, 566 520 154, 603 967 714, </w:t>
            </w:r>
            <w:hyperlink r:id="rId30" w:history="1">
              <w:r w:rsidRPr="00565EDB">
                <w:rPr>
                  <w:rFonts w:cs="Arial"/>
                  <w:color w:val="0000FF" w:themeColor="hyperlink"/>
                  <w:sz w:val="22"/>
                  <w:u w:val="single"/>
                </w:rPr>
                <w:t>ssm.vm@tiscali.cz</w:t>
              </w:r>
            </w:hyperlink>
            <w:r w:rsidRPr="00565EDB">
              <w:rPr>
                <w:rFonts w:cs="Arial"/>
                <w:sz w:val="22"/>
              </w:rPr>
              <w:t xml:space="preserve">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Druh sociální služby</w:t>
            </w:r>
          </w:p>
        </w:tc>
        <w:tc>
          <w:tcPr>
            <w:tcW w:w="6804" w:type="dxa"/>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Pečovatelská služba</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Forma poskytování sociální služby</w:t>
            </w:r>
          </w:p>
        </w:tc>
        <w:tc>
          <w:tcPr>
            <w:tcW w:w="6804" w:type="dxa"/>
          </w:tcPr>
          <w:p w:rsid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Terénní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Ambulantní</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Cílová skupina</w:t>
            </w:r>
          </w:p>
        </w:tc>
        <w:tc>
          <w:tcPr>
            <w:tcW w:w="6804" w:type="dxa"/>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 chronickým onemocněním</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se zdravotním postižením</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Senioři</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Věková struktura</w:t>
            </w:r>
          </w:p>
        </w:tc>
        <w:tc>
          <w:tcPr>
            <w:tcW w:w="6804" w:type="dxa"/>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Mladí dospělí 19-26 let</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Dospělí 27-65 let</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Mladší senioři 65-80 let</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Starší senioři nad 80 let</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Počet osob na území města Velké Meziříčí (stav k 31. 7. 2013)</w:t>
            </w:r>
          </w:p>
        </w:tc>
        <w:tc>
          <w:tcPr>
            <w:tcW w:w="6804" w:type="dxa"/>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133</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Výhled do budoucna ve vztahu k poskytování sociálních služeb na území města Velké Meziříčí</w:t>
            </w:r>
          </w:p>
        </w:tc>
        <w:tc>
          <w:tcPr>
            <w:tcW w:w="6804" w:type="dxa"/>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Sociální služby města Velké Meziříčí mají 3 Domovy s pečovatelskou službou, v jednom z nich je zaveden nepřetržitý provoz (Zdenky Vorlové 2001) s kapacitou 34 bytů.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Do budoucna plánují Sociální služby:</w:t>
            </w:r>
          </w:p>
          <w:p w:rsidR="00565EDB" w:rsidRPr="00565EDB" w:rsidRDefault="00565EDB" w:rsidP="000D1D74">
            <w:pPr>
              <w:numPr>
                <w:ilvl w:val="0"/>
                <w:numId w:val="11"/>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rozšíření nepřetržitého provozu na další DPS s kapacitou 20 bytů, a to na ulici Strmá 1050/2</w:t>
            </w:r>
          </w:p>
          <w:p w:rsidR="00565EDB" w:rsidRPr="00565EDB" w:rsidRDefault="00565EDB" w:rsidP="000D1D74">
            <w:pPr>
              <w:numPr>
                <w:ilvl w:val="0"/>
                <w:numId w:val="11"/>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zřízení odlehčovací služby pobytové v DPS na ulici Strmá 1050/2</w:t>
            </w:r>
          </w:p>
          <w:p w:rsidR="00565EDB" w:rsidRPr="00565EDB" w:rsidRDefault="00565EDB" w:rsidP="000D1D74">
            <w:pPr>
              <w:numPr>
                <w:ilvl w:val="0"/>
                <w:numId w:val="11"/>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zřízení denního stacionáře pro seniory v DPS na ulici Zdenky Vorlové 2001</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Provozní doba</w:t>
            </w:r>
          </w:p>
        </w:tc>
        <w:tc>
          <w:tcPr>
            <w:tcW w:w="6804" w:type="dxa"/>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Ostatní (např. požadavek na dotační prostředky v roce 2014 od Velkého Meziříčí)</w:t>
            </w:r>
          </w:p>
        </w:tc>
        <w:tc>
          <w:tcPr>
            <w:tcW w:w="6804" w:type="dxa"/>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Od zřizovatele budeme žádat finanční prostředky na zavedení nepřetržitého provozu. Navýšení pracovních úvazků pro DPS na ulici Zdenky Vorlové a pro DPS na ulici Strmá tj. celkem čtyři pracovní místa. Dále budeme žádat o finanční prostředky pro instalaci schodišťové sedačky. </w:t>
            </w:r>
          </w:p>
        </w:tc>
      </w:tr>
    </w:tbl>
    <w:p w:rsidR="00227C94" w:rsidRDefault="00227C94" w:rsidP="00996CAC">
      <w:pPr>
        <w:pStyle w:val="Nadpis4"/>
      </w:pPr>
    </w:p>
    <w:p w:rsidR="00227C94" w:rsidRDefault="00227C94">
      <w:pPr>
        <w:spacing w:before="0" w:after="200" w:line="276" w:lineRule="auto"/>
        <w:jc w:val="left"/>
        <w:rPr>
          <w:rFonts w:eastAsiaTheme="majorEastAsia" w:cstheme="majorBidi"/>
          <w:b/>
          <w:bCs/>
          <w:iCs/>
          <w:sz w:val="28"/>
        </w:rPr>
      </w:pPr>
      <w:r>
        <w:br w:type="page"/>
      </w:r>
    </w:p>
    <w:p w:rsidR="00353399" w:rsidRPr="00DD261D" w:rsidRDefault="00353399" w:rsidP="00996CAC">
      <w:pPr>
        <w:pStyle w:val="Nadpis4"/>
      </w:pPr>
      <w:bookmarkStart w:id="35" w:name="_Toc367278147"/>
      <w:r w:rsidRPr="00DD261D">
        <w:t>Hospicové hnutí - Vysočina, o.s.</w:t>
      </w:r>
      <w:bookmarkEnd w:id="35"/>
    </w:p>
    <w:p w:rsidR="00C96A3F" w:rsidRDefault="000D1D74" w:rsidP="00353399">
      <w:r w:rsidRPr="000D1D74">
        <w:t>Posláním Hospicového hnutí - Vysočina, o.s. je pomáhat lidem ohroženým izolací v období vážné nemoci, stáří, umírání a v době po úmrtí někoho b</w:t>
      </w:r>
      <w:r>
        <w:t>lízkého. Toto poslání naplňuje</w:t>
      </w:r>
      <w:r w:rsidRPr="000D1D74">
        <w:t xml:space="preserve"> praktickým poskytováním i rozvíjením hospicových služeb, služeb pro seniory a dobrovolnického programu.</w:t>
      </w:r>
    </w:p>
    <w:p w:rsidR="000D1D74" w:rsidRDefault="000D1D74" w:rsidP="00353399"/>
    <w:p w:rsidR="006357FA" w:rsidRPr="006357FA" w:rsidRDefault="006357FA" w:rsidP="006357FA">
      <w:pPr>
        <w:pStyle w:val="Titulek"/>
        <w:keepNext/>
        <w:rPr>
          <w:b w:val="0"/>
        </w:rPr>
      </w:pPr>
      <w:bookmarkStart w:id="36" w:name="_Toc367794850"/>
      <w:r>
        <w:t xml:space="preserve">Tabulka č. </w:t>
      </w:r>
      <w:r w:rsidR="00EE3646">
        <w:fldChar w:fldCharType="begin"/>
      </w:r>
      <w:r w:rsidR="00EE3646">
        <w:instrText xml:space="preserve"> SEQ Tabulka_č. \* ARABIC </w:instrText>
      </w:r>
      <w:r w:rsidR="00EE3646">
        <w:fldChar w:fldCharType="separate"/>
      </w:r>
      <w:r w:rsidR="00594151">
        <w:rPr>
          <w:noProof/>
        </w:rPr>
        <w:t>6</w:t>
      </w:r>
      <w:r w:rsidR="00EE3646">
        <w:rPr>
          <w:noProof/>
        </w:rPr>
        <w:fldChar w:fldCharType="end"/>
      </w:r>
      <w:r>
        <w:t xml:space="preserve">: </w:t>
      </w:r>
      <w:r>
        <w:rPr>
          <w:b w:val="0"/>
        </w:rPr>
        <w:t>Hospicové hnutí - Vysočina, o. s.</w:t>
      </w:r>
      <w:bookmarkEnd w:id="36"/>
      <w:r>
        <w:rPr>
          <w:b w:val="0"/>
        </w:rPr>
        <w:t xml:space="preserve"> </w:t>
      </w:r>
    </w:p>
    <w:tbl>
      <w:tblPr>
        <w:tblStyle w:val="Stednmka1zvraznn6"/>
        <w:tblW w:w="9212" w:type="dxa"/>
        <w:tblLook w:val="04A0" w:firstRow="1" w:lastRow="0" w:firstColumn="1" w:lastColumn="0" w:noHBand="0" w:noVBand="1"/>
      </w:tblPr>
      <w:tblGrid>
        <w:gridCol w:w="2376"/>
        <w:gridCol w:w="6836"/>
      </w:tblGrid>
      <w:tr w:rsidR="00565EDB" w:rsidRPr="00565EDB" w:rsidTr="0056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Název</w:t>
            </w:r>
          </w:p>
        </w:tc>
        <w:tc>
          <w:tcPr>
            <w:tcW w:w="6836" w:type="dxa"/>
            <w:vAlign w:val="center"/>
          </w:tcPr>
          <w:p w:rsidR="00565EDB" w:rsidRPr="00565EDB" w:rsidRDefault="00565EDB" w:rsidP="00565EDB">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Hospicové hnutí – Vysočina, o.s.</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Adresa</w:t>
            </w:r>
          </w:p>
        </w:tc>
        <w:tc>
          <w:tcPr>
            <w:tcW w:w="6836"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Žďárská 610</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592 31 Nové Město na Moravě</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Kontakt</w:t>
            </w:r>
          </w:p>
        </w:tc>
        <w:tc>
          <w:tcPr>
            <w:tcW w:w="6836"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Ing. Petr Havlíček-ředitel, 731 679 933, 777 950 199, 566 615 196, </w:t>
            </w:r>
            <w:hyperlink r:id="rId31" w:history="1">
              <w:r w:rsidRPr="00565EDB">
                <w:rPr>
                  <w:rFonts w:cs="Arial"/>
                  <w:color w:val="0000FF" w:themeColor="hyperlink"/>
                  <w:sz w:val="22"/>
                  <w:u w:val="single"/>
                </w:rPr>
                <w:t>petr.havlicek@hhv.cz</w:t>
              </w:r>
            </w:hyperlink>
            <w:r w:rsidRPr="00565EDB">
              <w:rPr>
                <w:rFonts w:cs="Arial"/>
                <w:sz w:val="22"/>
              </w:rPr>
              <w:t xml:space="preserve">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Druh sociální služby</w:t>
            </w:r>
          </w:p>
        </w:tc>
        <w:tc>
          <w:tcPr>
            <w:tcW w:w="6836"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Odlehčovací služby – domácí hospicová péče</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Forma poskytování sociální služby</w:t>
            </w:r>
          </w:p>
        </w:tc>
        <w:tc>
          <w:tcPr>
            <w:tcW w:w="6836"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Terénní</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Cílová skupina</w:t>
            </w:r>
          </w:p>
        </w:tc>
        <w:tc>
          <w:tcPr>
            <w:tcW w:w="6836"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 onkologickým onemocněním v terminálním stádiu</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Věková struktura</w:t>
            </w:r>
          </w:p>
        </w:tc>
        <w:tc>
          <w:tcPr>
            <w:tcW w:w="6836"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Od 18 let</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Počet osob na území města Velké Meziříčí (stav k 31. 7. 2013)</w:t>
            </w:r>
          </w:p>
        </w:tc>
        <w:tc>
          <w:tcPr>
            <w:tcW w:w="6836"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0</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Výhled do budoucna ve vztahu k poskytování sociálních služeb na území města Velké Meziříčí</w:t>
            </w:r>
          </w:p>
        </w:tc>
        <w:tc>
          <w:tcPr>
            <w:tcW w:w="6836"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V případě dohody s Městským úřadem Velké Meziříčí a s Krajským úřadem by bylo zřízeno ve Velkém Meziříčí samostatné pracoviště (středisko), které by službu poskytovalo jak přímo ve Velkém Meziříčí, tak v jeho okolí (do 25 km).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Provozní doba</w:t>
            </w:r>
          </w:p>
        </w:tc>
        <w:tc>
          <w:tcPr>
            <w:tcW w:w="6836"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Nepřetržitá. </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Ostatní (např. požadavek na dotační prostředky v roce 2014 od Velkého Meziříčí)</w:t>
            </w:r>
          </w:p>
        </w:tc>
        <w:tc>
          <w:tcPr>
            <w:tcW w:w="6836"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Pokud dojde k dohodě o zřízení samostatného pracoviště, bude potřebná spolupráce s MěÚ nejen v </w:t>
            </w:r>
            <w:r w:rsidR="00F0737E">
              <w:rPr>
                <w:rFonts w:cs="Arial"/>
                <w:sz w:val="22"/>
              </w:rPr>
              <w:t>oblasti finanční podpory, ale i </w:t>
            </w:r>
            <w:r w:rsidRPr="00565EDB">
              <w:rPr>
                <w:rFonts w:cs="Arial"/>
                <w:sz w:val="22"/>
              </w:rPr>
              <w:t xml:space="preserve">v prostorovém zajištění služby. </w:t>
            </w:r>
          </w:p>
        </w:tc>
      </w:tr>
    </w:tbl>
    <w:p w:rsidR="00353399" w:rsidRDefault="00353399" w:rsidP="00353399"/>
    <w:p w:rsidR="00353399" w:rsidRDefault="00353399" w:rsidP="00353399"/>
    <w:p w:rsidR="00D22F26" w:rsidRDefault="00D22F26">
      <w:pPr>
        <w:spacing w:before="0" w:after="200" w:line="276" w:lineRule="auto"/>
        <w:jc w:val="left"/>
        <w:rPr>
          <w:rFonts w:eastAsiaTheme="majorEastAsia" w:cstheme="majorBidi"/>
          <w:b/>
          <w:bCs/>
        </w:rPr>
      </w:pPr>
      <w:r>
        <w:br w:type="page"/>
      </w:r>
    </w:p>
    <w:p w:rsidR="00353399" w:rsidRPr="00DD261D" w:rsidRDefault="00353399" w:rsidP="00996CAC">
      <w:pPr>
        <w:pStyle w:val="Nadpis4"/>
      </w:pPr>
      <w:bookmarkStart w:id="37" w:name="_Toc367278148"/>
      <w:r w:rsidRPr="00DD261D">
        <w:t>Ústav sociální péče Křižanov, příspěvková organizace</w:t>
      </w:r>
      <w:bookmarkEnd w:id="37"/>
    </w:p>
    <w:p w:rsidR="00D22F26" w:rsidRDefault="001C473E" w:rsidP="006357FA">
      <w:pPr>
        <w:spacing w:after="240"/>
      </w:pPr>
      <w:r>
        <w:t xml:space="preserve">Posláním ÚSP Křižanov je poskytování nezbytné podpory lidem s mentálním postižením na cestě k běžnému způsobu života s ohledem na jejich individuální potřeby a možnosti. </w:t>
      </w:r>
    </w:p>
    <w:p w:rsidR="006357FA" w:rsidRPr="006357FA" w:rsidRDefault="006357FA" w:rsidP="006357FA">
      <w:pPr>
        <w:pStyle w:val="Titulek"/>
        <w:keepNext/>
        <w:spacing w:after="0"/>
        <w:rPr>
          <w:b w:val="0"/>
        </w:rPr>
      </w:pPr>
      <w:bookmarkStart w:id="38" w:name="_Toc367794851"/>
      <w:r>
        <w:t xml:space="preserve">Tabulka č. </w:t>
      </w:r>
      <w:r w:rsidR="00EE3646">
        <w:fldChar w:fldCharType="begin"/>
      </w:r>
      <w:r w:rsidR="00EE3646">
        <w:instrText xml:space="preserve"> SEQ Tabulka_č. \* ARABIC </w:instrText>
      </w:r>
      <w:r w:rsidR="00EE3646">
        <w:fldChar w:fldCharType="separate"/>
      </w:r>
      <w:r w:rsidR="00594151">
        <w:rPr>
          <w:noProof/>
        </w:rPr>
        <w:t>7</w:t>
      </w:r>
      <w:r w:rsidR="00EE3646">
        <w:rPr>
          <w:noProof/>
        </w:rPr>
        <w:fldChar w:fldCharType="end"/>
      </w:r>
      <w:r>
        <w:t xml:space="preserve">: </w:t>
      </w:r>
      <w:r>
        <w:rPr>
          <w:b w:val="0"/>
        </w:rPr>
        <w:t>Ústav sociální péče Křižanov, příspěvková organizace</w:t>
      </w:r>
      <w:bookmarkEnd w:id="38"/>
    </w:p>
    <w:tbl>
      <w:tblPr>
        <w:tblStyle w:val="Stednmka1zvraznn2"/>
        <w:tblW w:w="0" w:type="auto"/>
        <w:tblLook w:val="04A0" w:firstRow="1" w:lastRow="0" w:firstColumn="1" w:lastColumn="0" w:noHBand="0" w:noVBand="1"/>
      </w:tblPr>
      <w:tblGrid>
        <w:gridCol w:w="2376"/>
        <w:gridCol w:w="6804"/>
      </w:tblGrid>
      <w:tr w:rsidR="00565EDB" w:rsidRPr="00565EDB" w:rsidTr="0056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6357FA">
            <w:pPr>
              <w:spacing w:before="0"/>
              <w:jc w:val="center"/>
              <w:rPr>
                <w:rFonts w:cs="Arial"/>
                <w:sz w:val="20"/>
              </w:rPr>
            </w:pPr>
            <w:r w:rsidRPr="00565EDB">
              <w:rPr>
                <w:rFonts w:cs="Arial"/>
                <w:sz w:val="20"/>
              </w:rPr>
              <w:t>Název</w:t>
            </w:r>
          </w:p>
        </w:tc>
        <w:tc>
          <w:tcPr>
            <w:tcW w:w="6804" w:type="dxa"/>
          </w:tcPr>
          <w:p w:rsidR="00565EDB" w:rsidRPr="00565EDB" w:rsidRDefault="00565EDB" w:rsidP="006357FA">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565EDB">
              <w:rPr>
                <w:rFonts w:cs="Arial"/>
              </w:rPr>
              <w:t>Ústav sociální péče Křižanov, příspěvková organizace</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Adresa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Zámek 1</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594 51 Křižanov</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Kontakt</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PhDr. Marie Bartošková - ředitelka, 774 369 100, 566 543 401, </w:t>
            </w:r>
            <w:hyperlink r:id="rId32" w:history="1">
              <w:r w:rsidRPr="00565EDB">
                <w:rPr>
                  <w:rFonts w:cs="Arial"/>
                  <w:color w:val="0000FF" w:themeColor="hyperlink"/>
                  <w:sz w:val="22"/>
                  <w:u w:val="single"/>
                </w:rPr>
                <w:t>reditelka@uspkrizanov.cz</w:t>
              </w:r>
            </w:hyperlink>
            <w:r w:rsidRPr="00565EDB">
              <w:rPr>
                <w:rFonts w:cs="Arial"/>
                <w:sz w:val="22"/>
              </w:rPr>
              <w:t xml:space="preserve">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Druh sociální služby</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Domovy pro osoby se zdravotním postižením</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Chráněné bydlení</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Forma poskytování sociální služby</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Pobytová</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Cílová skupina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DOZP - Osoby s mentálním postižením a přidruženými kombinovanými vadami, epilepsií, mozkovou obrnou ve všech formách. </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CHB - Osoby s lehkým a středn</w:t>
            </w:r>
            <w:r w:rsidR="00F0737E">
              <w:rPr>
                <w:rFonts w:cs="Arial"/>
                <w:sz w:val="22"/>
              </w:rPr>
              <w:t>ě těžkým mentálním postižením a </w:t>
            </w:r>
            <w:r w:rsidRPr="00565EDB">
              <w:rPr>
                <w:rFonts w:cs="Arial"/>
                <w:sz w:val="22"/>
              </w:rPr>
              <w:t>přidruženými kombinovanými vadami</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Věková struktura</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Od 18 let</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Počet osob na území města Velké Meziříčí (stav k 31. 7. 2013)</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V současné době nebydlí žádní uživatelé naší služby na území města Velké Meziříčí. </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Výhled do budoucna ve vztahu k poskytování sociálních služeb na území města Velké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Ve Velkém Meziříčí je plánována výstavba dvou domů v oblasti Hliniště. Vzniknou zde dvě skupinové domácnosti po 6 uživatelích. Domácnosti jsou plánovány pro osoby se střední mírou podpory, bude zde poskytována služba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b/>
                <w:sz w:val="22"/>
              </w:rPr>
            </w:pPr>
            <w:r w:rsidRPr="00565EDB">
              <w:rPr>
                <w:rFonts w:cs="Arial"/>
                <w:b/>
                <w:sz w:val="22"/>
              </w:rPr>
              <w:t>Chráněné bydlení</w:t>
            </w:r>
          </w:p>
          <w:p w:rsidR="00565EDB" w:rsidRPr="00565EDB" w:rsidRDefault="00565EDB" w:rsidP="000D1D74">
            <w:pPr>
              <w:numPr>
                <w:ilvl w:val="0"/>
                <w:numId w:val="12"/>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565EDB">
              <w:rPr>
                <w:rFonts w:cs="Arial"/>
                <w:sz w:val="20"/>
              </w:rPr>
              <w:t xml:space="preserve">dospělé osoby s lehkým a </w:t>
            </w:r>
            <w:r w:rsidR="00F0737E">
              <w:rPr>
                <w:rFonts w:cs="Arial"/>
                <w:sz w:val="20"/>
              </w:rPr>
              <w:t>středním mentálním postižením a </w:t>
            </w:r>
            <w:r w:rsidRPr="00565EDB">
              <w:rPr>
                <w:rFonts w:cs="Arial"/>
                <w:sz w:val="20"/>
              </w:rPr>
              <w:t>přidruženými kombinovanými vadami</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Obyvatelé těchto domácností by měli využívat návazné služby ve Velkém Meziříčí – stacionář, základní</w:t>
            </w:r>
            <w:r>
              <w:rPr>
                <w:rFonts w:cs="Arial"/>
                <w:sz w:val="22"/>
              </w:rPr>
              <w:t xml:space="preserve"> a speciální škola, obchody ad.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V domácnostech bude zajišťována celoroční pobytová služba s 24hodinovou podporou personálu dle potřeb uživatelů.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2013 </w:t>
            </w:r>
          </w:p>
          <w:p w:rsidR="00565EDB" w:rsidRPr="00565EDB" w:rsidRDefault="00565EDB" w:rsidP="000D1D74">
            <w:pPr>
              <w:numPr>
                <w:ilvl w:val="0"/>
                <w:numId w:val="12"/>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565EDB">
              <w:rPr>
                <w:rFonts w:cs="Arial"/>
                <w:sz w:val="20"/>
              </w:rPr>
              <w:t>komunikace s představiteli obcí a měst, také s občany Velkého Meziříčí</w:t>
            </w:r>
          </w:p>
          <w:p w:rsidR="00565EDB" w:rsidRPr="00565EDB" w:rsidRDefault="00565EDB" w:rsidP="000D1D74">
            <w:pPr>
              <w:numPr>
                <w:ilvl w:val="0"/>
                <w:numId w:val="12"/>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565EDB">
              <w:rPr>
                <w:rFonts w:cs="Arial"/>
                <w:sz w:val="20"/>
              </w:rPr>
              <w:t>projektové plánování nově vznikajících domácností</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2014</w:t>
            </w:r>
          </w:p>
          <w:p w:rsidR="00565EDB" w:rsidRPr="00565EDB" w:rsidRDefault="00565EDB" w:rsidP="000D1D74">
            <w:pPr>
              <w:numPr>
                <w:ilvl w:val="0"/>
                <w:numId w:val="13"/>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565EDB">
              <w:rPr>
                <w:rFonts w:cs="Arial"/>
                <w:sz w:val="20"/>
              </w:rPr>
              <w:t>příprava uživatelů na přechod do nových domácností ve Velkém Meziříčí</w:t>
            </w:r>
          </w:p>
          <w:p w:rsidR="00565EDB" w:rsidRPr="00565EDB" w:rsidRDefault="00565EDB" w:rsidP="000D1D74">
            <w:pPr>
              <w:numPr>
                <w:ilvl w:val="0"/>
                <w:numId w:val="13"/>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565EDB">
              <w:rPr>
                <w:rFonts w:cs="Arial"/>
                <w:sz w:val="20"/>
              </w:rPr>
              <w:t>příprava personálu na poskytování služeb v nových domácnostech</w:t>
            </w:r>
          </w:p>
          <w:p w:rsidR="00565EDB" w:rsidRPr="00565EDB" w:rsidRDefault="00565EDB" w:rsidP="000D1D74">
            <w:pPr>
              <w:numPr>
                <w:ilvl w:val="0"/>
                <w:numId w:val="13"/>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565EDB">
              <w:rPr>
                <w:rFonts w:cs="Arial"/>
                <w:sz w:val="20"/>
              </w:rPr>
              <w:t>komunikace s občany Velkého Meziříčí</w:t>
            </w:r>
          </w:p>
          <w:p w:rsidR="00565EDB" w:rsidRPr="00565EDB" w:rsidRDefault="00565EDB" w:rsidP="000D1D74">
            <w:pPr>
              <w:numPr>
                <w:ilvl w:val="0"/>
                <w:numId w:val="13"/>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565EDB">
              <w:rPr>
                <w:rFonts w:cs="Arial"/>
                <w:sz w:val="20"/>
              </w:rPr>
              <w:t>navázání spolupráce s návaznými službami ve Velkém Meziříčí</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Podzim 2014 – první pololetí 2015</w:t>
            </w:r>
          </w:p>
          <w:p w:rsidR="00565EDB" w:rsidRPr="00565EDB" w:rsidRDefault="00565EDB" w:rsidP="000D1D74">
            <w:pPr>
              <w:numPr>
                <w:ilvl w:val="0"/>
                <w:numId w:val="14"/>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b/>
                <w:sz w:val="20"/>
              </w:rPr>
              <w:t xml:space="preserve">dokončení I. etapy transformace </w:t>
            </w:r>
            <w:r w:rsidRPr="00565EDB">
              <w:rPr>
                <w:rFonts w:cs="Arial"/>
                <w:sz w:val="20"/>
              </w:rPr>
              <w:t xml:space="preserve">– zahájení poskytování služby chráněné bydlení, přestěhování 12 uživatelů do nově vzniklých domácností ve Velkém Meziříčí. Spolupráce s Ligou vozíčkářů – hledání zaměstnání a uplatnění uživatelů na trhu práce, spolupráce s návaznými sociálními službami.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Provozní doba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Celoroční, nepřetržitý provoz</w:t>
            </w:r>
          </w:p>
        </w:tc>
      </w:tr>
    </w:tbl>
    <w:p w:rsidR="00353399" w:rsidRPr="00DD261D" w:rsidRDefault="00353399" w:rsidP="00996CAC">
      <w:pPr>
        <w:pStyle w:val="Nadpis4"/>
      </w:pPr>
      <w:bookmarkStart w:id="39" w:name="_Toc367278149"/>
      <w:r w:rsidRPr="00DD261D">
        <w:t>Domov pro seniory Velké Meziříčí, p. o.</w:t>
      </w:r>
      <w:bookmarkEnd w:id="39"/>
      <w:r w:rsidRPr="00DD261D">
        <w:t xml:space="preserve"> </w:t>
      </w:r>
    </w:p>
    <w:p w:rsidR="00FD2C2B" w:rsidRDefault="009C461E" w:rsidP="009C461E">
      <w:r>
        <w:t xml:space="preserve">Posláním Domova pro seniory </w:t>
      </w:r>
      <w:r w:rsidR="00FD2C2B">
        <w:t xml:space="preserve">a Domova se zvláštním režimem - Pomněnka </w:t>
      </w:r>
      <w:r>
        <w:t>je podporovat a udržovat u klientů co nejvyšší míru samostatn</w:t>
      </w:r>
      <w:r w:rsidR="00FD2C2B">
        <w:t>osti a nezávislosti, zejména u těch</w:t>
      </w:r>
      <w:r>
        <w:t xml:space="preserve">, jejichž situace vyžaduje pravidelnou pomoc jiné fyzické osoby a tato pomoc jim nemůže být zajištěna v jejich přirozeném prostředí za pomoci rodiny nebo jiných sociálních služeb. </w:t>
      </w:r>
    </w:p>
    <w:p w:rsidR="00677F33" w:rsidRPr="009C461E" w:rsidRDefault="00677F33" w:rsidP="009C461E"/>
    <w:p w:rsidR="006357FA" w:rsidRPr="006357FA" w:rsidRDefault="006357FA" w:rsidP="006357FA">
      <w:pPr>
        <w:pStyle w:val="Titulek"/>
        <w:keepNext/>
        <w:rPr>
          <w:b w:val="0"/>
        </w:rPr>
      </w:pPr>
      <w:bookmarkStart w:id="40" w:name="_Toc367794852"/>
      <w:r>
        <w:t xml:space="preserve">Tabulka č. </w:t>
      </w:r>
      <w:r w:rsidR="00EE3646">
        <w:fldChar w:fldCharType="begin"/>
      </w:r>
      <w:r w:rsidR="00EE3646">
        <w:instrText xml:space="preserve"> SEQ Tabulka_č. \* ARABIC </w:instrText>
      </w:r>
      <w:r w:rsidR="00EE3646">
        <w:fldChar w:fldCharType="separate"/>
      </w:r>
      <w:r w:rsidR="00594151">
        <w:rPr>
          <w:noProof/>
        </w:rPr>
        <w:t>8</w:t>
      </w:r>
      <w:r w:rsidR="00EE3646">
        <w:rPr>
          <w:noProof/>
        </w:rPr>
        <w:fldChar w:fldCharType="end"/>
      </w:r>
      <w:r>
        <w:t xml:space="preserve">: </w:t>
      </w:r>
      <w:r>
        <w:rPr>
          <w:b w:val="0"/>
        </w:rPr>
        <w:t>Domov pro seniory Velké Meziříčí, p. o.</w:t>
      </w:r>
      <w:bookmarkEnd w:id="40"/>
      <w:r>
        <w:rPr>
          <w:b w:val="0"/>
        </w:rPr>
        <w:t xml:space="preserve"> </w:t>
      </w:r>
    </w:p>
    <w:tbl>
      <w:tblPr>
        <w:tblStyle w:val="Stednmka1zvraznn61"/>
        <w:tblW w:w="0" w:type="auto"/>
        <w:tblLook w:val="04A0" w:firstRow="1" w:lastRow="0" w:firstColumn="1" w:lastColumn="0" w:noHBand="0" w:noVBand="1"/>
      </w:tblPr>
      <w:tblGrid>
        <w:gridCol w:w="2376"/>
        <w:gridCol w:w="6804"/>
      </w:tblGrid>
      <w:tr w:rsidR="00565EDB" w:rsidRPr="00565EDB" w:rsidTr="0056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Název</w:t>
            </w:r>
          </w:p>
        </w:tc>
        <w:tc>
          <w:tcPr>
            <w:tcW w:w="6804" w:type="dxa"/>
          </w:tcPr>
          <w:p w:rsidR="00565EDB" w:rsidRPr="00565EDB" w:rsidRDefault="00565EDB" w:rsidP="00565EDB">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Domov pro seniory Velké Meziříčí, p.o.</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Adresa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Zdenky Vorlové 2160</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594 01 Velké Meziříčí</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 xml:space="preserve">Kontakt </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Mgr. Helena Chalupová-ředitelka, 561 201 572, 736 541 988, </w:t>
            </w:r>
            <w:hyperlink r:id="rId33" w:history="1">
              <w:r w:rsidRPr="00565EDB">
                <w:rPr>
                  <w:rFonts w:cs="Arial"/>
                  <w:color w:val="0000FF" w:themeColor="hyperlink"/>
                  <w:sz w:val="22"/>
                  <w:u w:val="single"/>
                </w:rPr>
                <w:t>chalupova@domovvelkemezirici.cz</w:t>
              </w:r>
            </w:hyperlink>
            <w:r w:rsidRPr="00565EDB">
              <w:rPr>
                <w:rFonts w:cs="Arial"/>
                <w:sz w:val="22"/>
              </w:rPr>
              <w:t xml:space="preserve">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Druh sociální služby</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Domovy pro seniory</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Domovy se zvláštním režimem</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Forma poskytování sociální služby</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Pobytová</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Cílová skupina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Senioři</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 chronickým onemocněním</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 chronickým duševním onemocněním</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Věková struktura</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Od 65 let (průměrný věk cca 81 let)</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Počet osob na území města Velké Meziříčí (stav k 31. 7. 2013)</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94</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Výhled do budoucna ve vztahu k poskytování sociálních služeb na území města Velké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Nadále využívat soubor programů celoživotního vzdělávání, Univerzity třetího věku.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Provozní doba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Nepřetržitá. </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Ostatní (např. požadavek na dotační prostředky v roce 2014 od Velkého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p>
        </w:tc>
      </w:tr>
    </w:tbl>
    <w:p w:rsidR="00D22F26" w:rsidRDefault="00D22F26">
      <w:pPr>
        <w:spacing w:before="0" w:after="200" w:line="276" w:lineRule="auto"/>
        <w:jc w:val="left"/>
        <w:rPr>
          <w:rFonts w:eastAsiaTheme="majorEastAsia" w:cstheme="majorBidi"/>
          <w:b/>
          <w:bCs/>
        </w:rPr>
      </w:pPr>
      <w:r>
        <w:br w:type="page"/>
      </w:r>
    </w:p>
    <w:p w:rsidR="00620880" w:rsidRPr="00DD261D" w:rsidRDefault="00620880" w:rsidP="00996CAC">
      <w:pPr>
        <w:pStyle w:val="Nadpis4"/>
      </w:pPr>
      <w:bookmarkStart w:id="41" w:name="_Toc367278150"/>
      <w:r w:rsidRPr="00DD261D">
        <w:t>Domácí hospicová péče Oblastní charita Žďár nad Sázavou</w:t>
      </w:r>
      <w:bookmarkEnd w:id="41"/>
    </w:p>
    <w:p w:rsidR="002B7769" w:rsidRDefault="002B7769" w:rsidP="00565EDB">
      <w:r>
        <w:t>Služba nabízí lidskou podporu a zázemí pro těžce nemocné, umírající a jejich blízké pečující, poskytuje službu „doprovázení“. Nabízí p</w:t>
      </w:r>
      <w:r w:rsidR="00F0737E">
        <w:t>omoc v pomoc v oblasti sociálně</w:t>
      </w:r>
      <w:r w:rsidR="00F0737E">
        <w:noBreakHyphen/>
      </w:r>
      <w:r>
        <w:t>právní, zprostředkování psychologické či duchovní péče</w:t>
      </w:r>
      <w:r w:rsidR="00F0737E">
        <w:t>, pomoc s péčí o </w:t>
      </w:r>
      <w:r>
        <w:t xml:space="preserve">těžce nemocného, zapůjčení kompenzačních pomůcek a všestrannou lidskou oporu příbuzných a přátelům umírajících a pomáhá jim zvládat jejich zármutek i po smrti jejich blízkého člověka. </w:t>
      </w:r>
    </w:p>
    <w:p w:rsidR="00754125" w:rsidRDefault="002B7769" w:rsidP="00565EDB">
      <w:r>
        <w:t xml:space="preserve">Jedná se o komplexní službu, která zahrnuje odbornou zdravotní péči a službu sociální odlehčovací. </w:t>
      </w:r>
    </w:p>
    <w:p w:rsidR="002B7769" w:rsidRPr="00565EDB" w:rsidRDefault="002B7769" w:rsidP="00565EDB"/>
    <w:p w:rsidR="006357FA" w:rsidRPr="006357FA" w:rsidRDefault="006357FA" w:rsidP="006357FA">
      <w:pPr>
        <w:pStyle w:val="Titulek"/>
        <w:keepNext/>
        <w:rPr>
          <w:b w:val="0"/>
        </w:rPr>
      </w:pPr>
      <w:bookmarkStart w:id="42" w:name="_Toc367794853"/>
      <w:r>
        <w:t xml:space="preserve">Tabulka č. </w:t>
      </w:r>
      <w:r w:rsidR="00EE3646">
        <w:fldChar w:fldCharType="begin"/>
      </w:r>
      <w:r w:rsidR="00EE3646">
        <w:instrText xml:space="preserve"> SEQ Tabulka_č. \* ARABIC </w:instrText>
      </w:r>
      <w:r w:rsidR="00EE3646">
        <w:fldChar w:fldCharType="separate"/>
      </w:r>
      <w:r w:rsidR="00594151">
        <w:rPr>
          <w:noProof/>
        </w:rPr>
        <w:t>9</w:t>
      </w:r>
      <w:r w:rsidR="00EE3646">
        <w:rPr>
          <w:noProof/>
        </w:rPr>
        <w:fldChar w:fldCharType="end"/>
      </w:r>
      <w:r>
        <w:t xml:space="preserve">: </w:t>
      </w:r>
      <w:r>
        <w:rPr>
          <w:b w:val="0"/>
        </w:rPr>
        <w:t>Domácí hospicová péče Oblastní charita Žďár na Sázavou</w:t>
      </w:r>
      <w:bookmarkEnd w:id="42"/>
    </w:p>
    <w:tbl>
      <w:tblPr>
        <w:tblStyle w:val="Stednmka1zvraznn3"/>
        <w:tblW w:w="0" w:type="auto"/>
        <w:tblLook w:val="04A0" w:firstRow="1" w:lastRow="0" w:firstColumn="1" w:lastColumn="0" w:noHBand="0" w:noVBand="1"/>
      </w:tblPr>
      <w:tblGrid>
        <w:gridCol w:w="2376"/>
        <w:gridCol w:w="6804"/>
      </w:tblGrid>
      <w:tr w:rsidR="00565EDB" w:rsidRPr="00565EDB" w:rsidTr="0056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Název</w:t>
            </w:r>
          </w:p>
        </w:tc>
        <w:tc>
          <w:tcPr>
            <w:tcW w:w="6804" w:type="dxa"/>
          </w:tcPr>
          <w:p w:rsidR="00565EDB" w:rsidRPr="00565EDB" w:rsidRDefault="00565EDB" w:rsidP="00565EDB">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Domácí hospicová péče Oblastní charita Žďár nad Sázavou</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Adresa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Horní 22</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591 01 Žďár nad Sázavou</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Kontakt</w:t>
            </w:r>
          </w:p>
        </w:tc>
        <w:tc>
          <w:tcPr>
            <w:tcW w:w="6804" w:type="dxa"/>
            <w:vAlign w:val="center"/>
          </w:tcPr>
          <w:p w:rsidR="00565EDB" w:rsidRPr="00565EDB" w:rsidRDefault="00565EDB" w:rsidP="000D1D74">
            <w:pPr>
              <w:numPr>
                <w:ilvl w:val="0"/>
                <w:numId w:val="15"/>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Marie Miličková - odpovědná pracovnice sociální služby, 739 389 244, 733 755 869, </w:t>
            </w:r>
            <w:hyperlink r:id="rId34" w:history="1">
              <w:r w:rsidRPr="00565EDB">
                <w:rPr>
                  <w:rFonts w:cs="Arial"/>
                  <w:color w:val="0000FF" w:themeColor="hyperlink"/>
                  <w:sz w:val="22"/>
                  <w:u w:val="single"/>
                </w:rPr>
                <w:t>marie.milickova@charita.cz</w:t>
              </w:r>
            </w:hyperlink>
            <w:r w:rsidRPr="00565EDB">
              <w:rPr>
                <w:rFonts w:cs="Arial"/>
                <w:sz w:val="22"/>
              </w:rPr>
              <w:t xml:space="preserve"> </w:t>
            </w:r>
          </w:p>
          <w:p w:rsidR="00565EDB" w:rsidRPr="00565EDB" w:rsidRDefault="00565EDB" w:rsidP="000D1D74">
            <w:pPr>
              <w:numPr>
                <w:ilvl w:val="0"/>
                <w:numId w:val="15"/>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Jana Musilová - zástupce, 739 389 244, 733 755 869, </w:t>
            </w:r>
            <w:hyperlink r:id="rId35" w:history="1">
              <w:r w:rsidRPr="00565EDB">
                <w:rPr>
                  <w:rFonts w:cs="Arial"/>
                  <w:color w:val="0000FF" w:themeColor="hyperlink"/>
                  <w:sz w:val="22"/>
                  <w:u w:val="single"/>
                </w:rPr>
                <w:t>dhp.zdar@charita.cz</w:t>
              </w:r>
            </w:hyperlink>
            <w:r w:rsidRPr="00565EDB">
              <w:rPr>
                <w:rFonts w:cs="Arial"/>
                <w:sz w:val="22"/>
              </w:rPr>
              <w:t xml:space="preserve">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Forma poskytování sociální služby</w:t>
            </w:r>
          </w:p>
        </w:tc>
        <w:tc>
          <w:tcPr>
            <w:tcW w:w="6804" w:type="dxa"/>
            <w:vAlign w:val="center"/>
          </w:tcPr>
          <w:p w:rsidR="00565EDB" w:rsidRPr="00565EDB" w:rsidRDefault="0099452E"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 xml:space="preserve">Terénní. </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Druh sociální služby</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Odlehčovací služba</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Cílová skupina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Těžce nevyléčitelně nemocní a umírající, osoby blízké těchto osob. </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Věková struktura</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Bez omezení, všechny věkové kategorie.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Počet osob na území města Velké Meziříčí (stav k 31. 7. 2013)</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19</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Výhled do budoucna ve vztahu k poskytování sociálních služeb na území města Velké Meziříčí</w:t>
            </w:r>
          </w:p>
        </w:tc>
        <w:tc>
          <w:tcPr>
            <w:tcW w:w="6804" w:type="dxa"/>
            <w:vAlign w:val="center"/>
          </w:tcPr>
          <w:p w:rsidR="00565EDB" w:rsidRPr="00565EDB" w:rsidRDefault="00565EDB" w:rsidP="00754125">
            <w:pPr>
              <w:spacing w:before="0"/>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I nadále chceme pomáhat lidem těžce nevyléčitelně nemocným, umírajícím a jejich blízkým pečujícím. </w:t>
            </w:r>
          </w:p>
          <w:p w:rsidR="00565EDB" w:rsidRPr="00565EDB" w:rsidRDefault="00565EDB" w:rsidP="00754125">
            <w:pPr>
              <w:spacing w:before="0"/>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Výhledově plánujeme zvýšení počtu uživatelů na cca 30 osob. </w:t>
            </w:r>
          </w:p>
          <w:p w:rsidR="00565EDB" w:rsidRPr="00565EDB" w:rsidRDefault="00565EDB" w:rsidP="00754125">
            <w:pPr>
              <w:spacing w:before="0"/>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Pro zachování kvality služby bude také zapotřebí investovat i do obnovy a nákupů kompenzačních pomůcek (např. polohovací lůžka, kyslíkové přístroje, antidekubitní pomůcky ad.)</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Provozní doba</w:t>
            </w:r>
          </w:p>
        </w:tc>
        <w:tc>
          <w:tcPr>
            <w:tcW w:w="6804" w:type="dxa"/>
            <w:vAlign w:val="center"/>
          </w:tcPr>
          <w:p w:rsidR="00565EDB" w:rsidRPr="00565EDB" w:rsidRDefault="00565EDB" w:rsidP="00754125">
            <w:pPr>
              <w:spacing w:before="0"/>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Služba je poskytována od pondělí do pátku od 7 do 15,30h. </w:t>
            </w:r>
          </w:p>
          <w:p w:rsidR="00565EDB" w:rsidRPr="00565EDB" w:rsidRDefault="00565EDB" w:rsidP="00754125">
            <w:pPr>
              <w:spacing w:before="0"/>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Podle potřeby může být služba poskytována i mimo tuto provozní dobu. </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Ostatní (např. požadavek na dotační prostředky v roce 2014 od Velkého Meziříčí)</w:t>
            </w:r>
          </w:p>
        </w:tc>
        <w:tc>
          <w:tcPr>
            <w:tcW w:w="6804" w:type="dxa"/>
            <w:vAlign w:val="center"/>
          </w:tcPr>
          <w:p w:rsidR="00565EDB" w:rsidRPr="00565EDB" w:rsidRDefault="00565EDB" w:rsidP="00754125">
            <w:pPr>
              <w:spacing w:before="0"/>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Pro rok 2013 jsme obdrželi dotaci ve výši 80.000,- Kč. Do dalšího období předpokládáme narůst uživatelů a také i nákladů spojených s kompenzačními pomůckami potřebnými pro uživatele, a proto výši požadované částky od města Velké Meziříčí odhadujeme cca na 120.000,- Kč. </w:t>
            </w:r>
          </w:p>
        </w:tc>
      </w:tr>
    </w:tbl>
    <w:p w:rsidR="00565EDB" w:rsidRPr="00565EDB" w:rsidRDefault="00565EDB" w:rsidP="00565EDB">
      <w:pPr>
        <w:spacing w:before="0" w:after="200" w:line="276" w:lineRule="auto"/>
        <w:jc w:val="left"/>
        <w:rPr>
          <w:rFonts w:asciiTheme="minorHAnsi" w:hAnsiTheme="minorHAnsi"/>
          <w:sz w:val="22"/>
        </w:rPr>
      </w:pPr>
    </w:p>
    <w:p w:rsidR="009D1A00" w:rsidRPr="009D1A00" w:rsidRDefault="009D1A00" w:rsidP="009D1A00"/>
    <w:p w:rsidR="00677F33" w:rsidRDefault="00677F33">
      <w:pPr>
        <w:spacing w:before="0" w:after="200" w:line="276" w:lineRule="auto"/>
        <w:jc w:val="left"/>
        <w:rPr>
          <w:rFonts w:eastAsiaTheme="majorEastAsia" w:cstheme="majorBidi"/>
          <w:b/>
          <w:bCs/>
          <w:sz w:val="28"/>
        </w:rPr>
      </w:pPr>
      <w:r>
        <w:br w:type="page"/>
      </w:r>
    </w:p>
    <w:p w:rsidR="00620880" w:rsidRPr="00DD261D" w:rsidRDefault="00620880" w:rsidP="00996CAC">
      <w:pPr>
        <w:pStyle w:val="Nadpis4"/>
      </w:pPr>
      <w:bookmarkStart w:id="43" w:name="_Toc367278151"/>
      <w:r w:rsidRPr="00DD261D">
        <w:t>Nesa - denní stacionář</w:t>
      </w:r>
      <w:bookmarkEnd w:id="43"/>
    </w:p>
    <w:p w:rsidR="009D45D3" w:rsidRPr="009D45D3" w:rsidRDefault="009D45D3" w:rsidP="009D45D3">
      <w:r>
        <w:t>V denním stacionáři Nesa, zařízení Oblastní charity Žďár nad Sázavou, se poskytují služby lidem s postižením z Velkého Meziříčí a okolí. Prostřednictvím svých služeb podporuje denní stacionář rozvoj člověka s postižením, jeho začlenění do společnosti a také rodinu, ve které žije.</w:t>
      </w:r>
    </w:p>
    <w:p w:rsidR="00565EDB" w:rsidRPr="00565EDB" w:rsidRDefault="00565EDB" w:rsidP="00565EDB"/>
    <w:p w:rsidR="006357FA" w:rsidRPr="006357FA" w:rsidRDefault="006357FA" w:rsidP="006357FA">
      <w:pPr>
        <w:pStyle w:val="Titulek"/>
        <w:keepNext/>
        <w:rPr>
          <w:b w:val="0"/>
        </w:rPr>
      </w:pPr>
      <w:bookmarkStart w:id="44" w:name="_Toc367794854"/>
      <w:r>
        <w:t xml:space="preserve">Tabulka č. </w:t>
      </w:r>
      <w:r w:rsidR="00EE3646">
        <w:fldChar w:fldCharType="begin"/>
      </w:r>
      <w:r w:rsidR="00EE3646">
        <w:instrText xml:space="preserve"> SEQ Tabulka_č. \* ARABIC </w:instrText>
      </w:r>
      <w:r w:rsidR="00EE3646">
        <w:fldChar w:fldCharType="separate"/>
      </w:r>
      <w:r w:rsidR="00594151">
        <w:rPr>
          <w:noProof/>
        </w:rPr>
        <w:t>10</w:t>
      </w:r>
      <w:r w:rsidR="00EE3646">
        <w:rPr>
          <w:noProof/>
        </w:rPr>
        <w:fldChar w:fldCharType="end"/>
      </w:r>
      <w:r>
        <w:t xml:space="preserve">: </w:t>
      </w:r>
      <w:r>
        <w:rPr>
          <w:b w:val="0"/>
        </w:rPr>
        <w:t>Nesa - denní stacionář</w:t>
      </w:r>
      <w:bookmarkEnd w:id="44"/>
    </w:p>
    <w:tbl>
      <w:tblPr>
        <w:tblStyle w:val="Stednmka1zvraznn4"/>
        <w:tblW w:w="0" w:type="auto"/>
        <w:tblLook w:val="04A0" w:firstRow="1" w:lastRow="0" w:firstColumn="1" w:lastColumn="0" w:noHBand="0" w:noVBand="1"/>
      </w:tblPr>
      <w:tblGrid>
        <w:gridCol w:w="2376"/>
        <w:gridCol w:w="6804"/>
      </w:tblGrid>
      <w:tr w:rsidR="00565EDB" w:rsidRPr="00565EDB" w:rsidTr="0056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Název</w:t>
            </w:r>
          </w:p>
        </w:tc>
        <w:tc>
          <w:tcPr>
            <w:tcW w:w="6804" w:type="dxa"/>
          </w:tcPr>
          <w:p w:rsidR="00565EDB" w:rsidRPr="00565EDB" w:rsidRDefault="00565EDB" w:rsidP="00565EDB">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Nesa - denní stacionář</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Adresa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Čechova 1660/30</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594 01 Velké Meziříčí</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Kontakt</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Ing. Alena Poulová - vedoucí zařízení, 777 155 376, </w:t>
            </w:r>
            <w:hyperlink r:id="rId36" w:history="1">
              <w:r w:rsidRPr="00565EDB">
                <w:rPr>
                  <w:rFonts w:cs="Arial"/>
                  <w:color w:val="0000FF" w:themeColor="hyperlink"/>
                  <w:sz w:val="22"/>
                  <w:u w:val="single"/>
                </w:rPr>
                <w:t>alena.poulova@charita.cz</w:t>
              </w:r>
            </w:hyperlink>
            <w:r w:rsidRPr="00565EDB">
              <w:rPr>
                <w:rFonts w:cs="Arial"/>
                <w:sz w:val="22"/>
              </w:rPr>
              <w:t xml:space="preserve">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webové stránky: </w:t>
            </w:r>
            <w:hyperlink r:id="rId37" w:history="1">
              <w:r w:rsidRPr="00565EDB">
                <w:rPr>
                  <w:rFonts w:cs="Arial"/>
                  <w:color w:val="0000FF" w:themeColor="hyperlink"/>
                  <w:sz w:val="22"/>
                  <w:u w:val="single"/>
                </w:rPr>
                <w:t>www.zdar.charita.cz</w:t>
              </w:r>
            </w:hyperlink>
            <w:r w:rsidRPr="00565EDB">
              <w:rPr>
                <w:rFonts w:cs="Arial"/>
                <w:sz w:val="22"/>
              </w:rPr>
              <w:t xml:space="preserve">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Druh sociální služby</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Denní stacionář</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Forma poskytování sociální služby</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Ambulantní</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Cílová skupina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Osoby s mentálním a kombinovaným postižením (s výjimkou osob s přidruženým psychickým onemocněním v akutní fázi). </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Věková struktura</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6 - 55 let</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Počet osob na území města Velké Meziříčí (stav k 31. 7. 2013)</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21 celkem, z toho 7 obyvatel Velkého Meziříčí. </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Výhled do budoucna ve vztahu k poskytování sociálních služeb na území města Velké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Přijetí dalších uživatelů, plánovaný konečný počet je 25.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Provozní doba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Po – Pá: 6,30 – 16,00h</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Ostatní (např. požadavek na dotační prostředky v roce 2014 od Velkého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Výše požadované dotace od Města Velké Meziříčí činí 800.000,- Kč. </w:t>
            </w:r>
          </w:p>
        </w:tc>
      </w:tr>
    </w:tbl>
    <w:p w:rsidR="00565EDB" w:rsidRPr="00565EDB" w:rsidRDefault="00565EDB" w:rsidP="00565EDB"/>
    <w:p w:rsidR="009D45D3" w:rsidRDefault="009D45D3">
      <w:pPr>
        <w:spacing w:before="0" w:after="200" w:line="276" w:lineRule="auto"/>
        <w:jc w:val="left"/>
        <w:rPr>
          <w:rFonts w:eastAsiaTheme="majorEastAsia" w:cstheme="majorBidi"/>
          <w:b/>
          <w:bCs/>
          <w:sz w:val="28"/>
        </w:rPr>
      </w:pPr>
      <w:r>
        <w:br w:type="page"/>
      </w:r>
    </w:p>
    <w:p w:rsidR="00620880" w:rsidRPr="00DD261D" w:rsidRDefault="00620880" w:rsidP="00996CAC">
      <w:pPr>
        <w:pStyle w:val="Nadpis4"/>
      </w:pPr>
      <w:bookmarkStart w:id="45" w:name="_Toc367278152"/>
      <w:r w:rsidRPr="00DD261D">
        <w:t>Osobní asistence Velké Meziříčí</w:t>
      </w:r>
      <w:bookmarkEnd w:id="45"/>
      <w:r w:rsidR="009D45D3" w:rsidRPr="00DD261D">
        <w:t xml:space="preserve"> </w:t>
      </w:r>
    </w:p>
    <w:p w:rsidR="009D45D3" w:rsidRPr="009D45D3" w:rsidRDefault="009D45D3" w:rsidP="009D45D3">
      <w:r>
        <w:t>P</w:t>
      </w:r>
      <w:r w:rsidRPr="009D45D3">
        <w:t xml:space="preserve">osláním </w:t>
      </w:r>
      <w:r>
        <w:t xml:space="preserve">Osobní asistence Velké meziříčí </w:t>
      </w:r>
      <w:r w:rsidRPr="009D45D3">
        <w:t xml:space="preserve">je zajistit </w:t>
      </w:r>
      <w:r>
        <w:t>osobám se zdravotním postižením nebo dlouhodobým onemocněním</w:t>
      </w:r>
      <w:r w:rsidRPr="009D45D3">
        <w:t xml:space="preserve"> podporu</w:t>
      </w:r>
      <w:r w:rsidR="00B47555">
        <w:t xml:space="preserve"> při naplňování jejich potřeb v </w:t>
      </w:r>
      <w:r w:rsidRPr="009D45D3">
        <w:t>domácím nebo společenském prostředí, aby mohli žít běžným způsobem života.</w:t>
      </w:r>
    </w:p>
    <w:p w:rsidR="00565EDB" w:rsidRPr="00565EDB" w:rsidRDefault="00565EDB" w:rsidP="00565EDB"/>
    <w:p w:rsidR="006357FA" w:rsidRPr="006357FA" w:rsidRDefault="006357FA" w:rsidP="006357FA">
      <w:pPr>
        <w:pStyle w:val="Titulek"/>
        <w:keepNext/>
        <w:rPr>
          <w:b w:val="0"/>
        </w:rPr>
      </w:pPr>
      <w:bookmarkStart w:id="46" w:name="_Toc367794855"/>
      <w:r>
        <w:t xml:space="preserve">Tabulka č. </w:t>
      </w:r>
      <w:r w:rsidR="00EE3646">
        <w:fldChar w:fldCharType="begin"/>
      </w:r>
      <w:r w:rsidR="00EE3646">
        <w:instrText xml:space="preserve"> SEQ Tabulka_č. \* ARAB</w:instrText>
      </w:r>
      <w:r w:rsidR="00EE3646">
        <w:instrText xml:space="preserve">IC </w:instrText>
      </w:r>
      <w:r w:rsidR="00EE3646">
        <w:fldChar w:fldCharType="separate"/>
      </w:r>
      <w:r w:rsidR="00594151">
        <w:rPr>
          <w:noProof/>
        </w:rPr>
        <w:t>11</w:t>
      </w:r>
      <w:r w:rsidR="00EE3646">
        <w:rPr>
          <w:noProof/>
        </w:rPr>
        <w:fldChar w:fldCharType="end"/>
      </w:r>
      <w:r>
        <w:t xml:space="preserve">: </w:t>
      </w:r>
      <w:r>
        <w:rPr>
          <w:b w:val="0"/>
        </w:rPr>
        <w:t>Osobní asistence Velké Meziříčí</w:t>
      </w:r>
      <w:bookmarkEnd w:id="46"/>
    </w:p>
    <w:tbl>
      <w:tblPr>
        <w:tblStyle w:val="Stednmka1zvraznn31"/>
        <w:tblW w:w="0" w:type="auto"/>
        <w:tblLook w:val="04A0" w:firstRow="1" w:lastRow="0" w:firstColumn="1" w:lastColumn="0" w:noHBand="0" w:noVBand="1"/>
      </w:tblPr>
      <w:tblGrid>
        <w:gridCol w:w="2376"/>
        <w:gridCol w:w="6804"/>
      </w:tblGrid>
      <w:tr w:rsidR="00565EDB" w:rsidRPr="00565EDB" w:rsidTr="0056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Název</w:t>
            </w:r>
          </w:p>
        </w:tc>
        <w:tc>
          <w:tcPr>
            <w:tcW w:w="6804" w:type="dxa"/>
          </w:tcPr>
          <w:p w:rsidR="00565EDB" w:rsidRPr="00565EDB" w:rsidRDefault="00565EDB" w:rsidP="00565EDB">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Osobní asistence Velké Meziříčí</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Adresa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Čechova 1660/30</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594 01 Velké Meziříčí</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Kontakt</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Jaroslava Pavlíčková - 733 755 870, 566 531 158, </w:t>
            </w:r>
            <w:hyperlink r:id="rId38" w:history="1">
              <w:r w:rsidRPr="00565EDB">
                <w:rPr>
                  <w:rFonts w:cs="Arial"/>
                  <w:color w:val="0000FF" w:themeColor="hyperlink"/>
                  <w:sz w:val="22"/>
                  <w:u w:val="single"/>
                </w:rPr>
                <w:t>oa.velmez@charita.cz</w:t>
              </w:r>
            </w:hyperlink>
            <w:r w:rsidRPr="00565EDB">
              <w:rPr>
                <w:rFonts w:cs="Arial"/>
                <w:sz w:val="22"/>
              </w:rPr>
              <w:t xml:space="preserve">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webové stránky: www.zdar.charita.cz</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Druh sociální služby</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Osobní asistence</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14"/>
              </w:rPr>
            </w:pPr>
            <w:r w:rsidRPr="00565EDB">
              <w:rPr>
                <w:rFonts w:cs="Arial"/>
                <w:sz w:val="14"/>
              </w:rPr>
              <w:t>* Zdroj dat: Registr poskytovatelů sociálních služeb, dostupný na iregistr.mpsv.cz</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Forma poskytování sociální služby</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Terénní</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Cílová skupina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se zdravotním postižením nebo dlouhodobým onemocněním</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Věková struktura</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Od 3 let (reálné rozložení: 80% senioři, 10% dospělí se zdravotním postižením, 10% děti s kombinovaným postižením).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Počet osob na území města Velké Meziříčí (stav k 31. 7. 2013)</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25 uživatelů</w:t>
            </w:r>
          </w:p>
          <w:p w:rsidR="00565EDB" w:rsidRPr="00565EDB" w:rsidRDefault="00565EDB" w:rsidP="000D1D74">
            <w:pPr>
              <w:numPr>
                <w:ilvl w:val="0"/>
                <w:numId w:val="16"/>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8 uživatelů na území města Velké Meziříčí</w:t>
            </w:r>
          </w:p>
          <w:p w:rsidR="00565EDB" w:rsidRPr="00565EDB" w:rsidRDefault="00565EDB" w:rsidP="000D1D74">
            <w:pPr>
              <w:numPr>
                <w:ilvl w:val="0"/>
                <w:numId w:val="16"/>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17 uživatelů v okolních obcích</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Výhled do budoucna ve vztahu k poskytování sociálních služeb na území města Velké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Poskytování služby ve stejném, případně větším rozsahu - navýšení cca 1,0 úvazku – podle zájmu a potřeb uživatelů.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Služba bude průběžně pracova</w:t>
            </w:r>
            <w:r w:rsidR="00F0737E">
              <w:rPr>
                <w:rFonts w:cs="Arial"/>
                <w:sz w:val="22"/>
              </w:rPr>
              <w:t>t na zvyšování kvality služby a </w:t>
            </w:r>
            <w:r w:rsidRPr="00565EDB">
              <w:rPr>
                <w:rFonts w:cs="Arial"/>
                <w:sz w:val="22"/>
              </w:rPr>
              <w:t xml:space="preserve">odbornosti pracovníků.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Provozní doba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Nepřetržitá. </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Ostatní (např. požadavek na dotační prostředky v roce 2014 od Velkého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Požadovaná částka od Města Velké Meziříčí činí 500.000,- Kč. </w:t>
            </w:r>
          </w:p>
        </w:tc>
      </w:tr>
    </w:tbl>
    <w:p w:rsidR="009D1A00" w:rsidRPr="009D1A00" w:rsidRDefault="009D1A00" w:rsidP="009D1A00"/>
    <w:p w:rsidR="009D45D3" w:rsidRDefault="009D45D3">
      <w:pPr>
        <w:spacing w:before="0" w:after="200" w:line="276" w:lineRule="auto"/>
        <w:jc w:val="left"/>
        <w:rPr>
          <w:rFonts w:eastAsiaTheme="majorEastAsia" w:cstheme="majorBidi"/>
          <w:b/>
          <w:bCs/>
          <w:sz w:val="28"/>
        </w:rPr>
      </w:pPr>
      <w:r>
        <w:br w:type="page"/>
      </w:r>
    </w:p>
    <w:p w:rsidR="00620880" w:rsidRPr="00DD261D" w:rsidRDefault="00620880" w:rsidP="00996CAC">
      <w:pPr>
        <w:pStyle w:val="Nadpis4"/>
      </w:pPr>
      <w:bookmarkStart w:id="47" w:name="_Toc367278153"/>
      <w:r w:rsidRPr="00DD261D">
        <w:t>Charitní ošetřovatelská služba Žďár nad Sázavou</w:t>
      </w:r>
      <w:bookmarkEnd w:id="47"/>
    </w:p>
    <w:p w:rsidR="009317C7" w:rsidRPr="009317C7" w:rsidRDefault="002A50FF" w:rsidP="009317C7">
      <w:r>
        <w:t>Charitní ošetřovatelská služba</w:t>
      </w:r>
      <w:r w:rsidR="009317C7">
        <w:t xml:space="preserve"> Oblastní charity Žďár nad Sázavou </w:t>
      </w:r>
      <w:r>
        <w:t>poskytuje</w:t>
      </w:r>
      <w:r w:rsidR="009317C7">
        <w:t xml:space="preserve"> odbornou zdravotní péči lidem, kteří z důvodu stáří, nemoci </w:t>
      </w:r>
      <w:r>
        <w:t>či zdravotního postižení nejsou soběstační. Pečuje</w:t>
      </w:r>
      <w:r w:rsidR="009317C7">
        <w:t xml:space="preserve"> o osoby v domácí péči na základě doporučení ošetřujícího lékaře a ve spolupráci</w:t>
      </w:r>
      <w:r>
        <w:t xml:space="preserve"> </w:t>
      </w:r>
      <w:r w:rsidR="009317C7">
        <w:t>s rodinnými příslušníky nepřetržitě sedm dní v týdnu. Cílem služby je umožnit pacientům prožití</w:t>
      </w:r>
      <w:r>
        <w:t xml:space="preserve"> </w:t>
      </w:r>
      <w:r w:rsidR="009317C7">
        <w:t>důstojného života v domácím prostředí mezi svými blízkými.</w:t>
      </w:r>
    </w:p>
    <w:p w:rsidR="00565EDB" w:rsidRPr="00565EDB" w:rsidRDefault="00565EDB" w:rsidP="00565EDB"/>
    <w:p w:rsidR="006357FA" w:rsidRPr="006357FA" w:rsidRDefault="006357FA" w:rsidP="006357FA">
      <w:pPr>
        <w:pStyle w:val="Titulek"/>
        <w:keepNext/>
        <w:rPr>
          <w:b w:val="0"/>
        </w:rPr>
      </w:pPr>
      <w:bookmarkStart w:id="48" w:name="_Toc367794856"/>
      <w:r>
        <w:t xml:space="preserve">Tabulka č. </w:t>
      </w:r>
      <w:r w:rsidR="00EE3646">
        <w:fldChar w:fldCharType="begin"/>
      </w:r>
      <w:r w:rsidR="00EE3646">
        <w:instrText xml:space="preserve"> SEQ Tabulka_č. \* ARABIC </w:instrText>
      </w:r>
      <w:r w:rsidR="00EE3646">
        <w:fldChar w:fldCharType="separate"/>
      </w:r>
      <w:r w:rsidR="00594151">
        <w:rPr>
          <w:noProof/>
        </w:rPr>
        <w:t>12</w:t>
      </w:r>
      <w:r w:rsidR="00EE3646">
        <w:rPr>
          <w:noProof/>
        </w:rPr>
        <w:fldChar w:fldCharType="end"/>
      </w:r>
      <w:r>
        <w:t xml:space="preserve">: </w:t>
      </w:r>
      <w:r>
        <w:rPr>
          <w:b w:val="0"/>
        </w:rPr>
        <w:t>Charitní ošetřovatelská služba Žďár nad Sázavou</w:t>
      </w:r>
      <w:bookmarkEnd w:id="48"/>
    </w:p>
    <w:tbl>
      <w:tblPr>
        <w:tblStyle w:val="Stednmka1zvraznn62"/>
        <w:tblW w:w="0" w:type="auto"/>
        <w:tblLook w:val="04A0" w:firstRow="1" w:lastRow="0" w:firstColumn="1" w:lastColumn="0" w:noHBand="0" w:noVBand="1"/>
      </w:tblPr>
      <w:tblGrid>
        <w:gridCol w:w="2376"/>
        <w:gridCol w:w="6804"/>
      </w:tblGrid>
      <w:tr w:rsidR="00565EDB" w:rsidRPr="00565EDB" w:rsidTr="0056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Název</w:t>
            </w:r>
          </w:p>
        </w:tc>
        <w:tc>
          <w:tcPr>
            <w:tcW w:w="6804" w:type="dxa"/>
          </w:tcPr>
          <w:p w:rsidR="00565EDB" w:rsidRPr="00565EDB" w:rsidRDefault="00565EDB" w:rsidP="00565EDB">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Charitní ošetřovatelská služba Žďár nad Sázavou</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Adresa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Studentská 4</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591 01 Žďár nad Sázavou</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Kontakt</w:t>
            </w:r>
          </w:p>
        </w:tc>
        <w:tc>
          <w:tcPr>
            <w:tcW w:w="6804" w:type="dxa"/>
            <w:vAlign w:val="center"/>
          </w:tcPr>
          <w:p w:rsidR="00565EDB" w:rsidRPr="00565EDB" w:rsidRDefault="00565EDB" w:rsidP="000D1D74">
            <w:pPr>
              <w:numPr>
                <w:ilvl w:val="0"/>
                <w:numId w:val="17"/>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Anna Janů-vrchní sestra, 566 626 041, 566 690 231, 777 755 435, </w:t>
            </w:r>
            <w:hyperlink r:id="rId39" w:history="1">
              <w:r w:rsidRPr="00565EDB">
                <w:rPr>
                  <w:rFonts w:cs="Arial"/>
                  <w:color w:val="0000FF" w:themeColor="hyperlink"/>
                  <w:sz w:val="22"/>
                  <w:u w:val="single"/>
                </w:rPr>
                <w:t>chops.zdar@charita.cz</w:t>
              </w:r>
            </w:hyperlink>
            <w:r w:rsidRPr="00565EDB">
              <w:rPr>
                <w:rFonts w:cs="Arial"/>
                <w:sz w:val="22"/>
              </w:rPr>
              <w:t xml:space="preserve"> </w:t>
            </w:r>
          </w:p>
          <w:p w:rsidR="00565EDB" w:rsidRPr="00565EDB" w:rsidRDefault="00565EDB" w:rsidP="000D1D74">
            <w:pPr>
              <w:numPr>
                <w:ilvl w:val="0"/>
                <w:numId w:val="17"/>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Milada Čaháková - zástupce vrchní sestry, 566 626 041, 566 690 231, 777 755 435, </w:t>
            </w:r>
            <w:hyperlink r:id="rId40" w:history="1">
              <w:r w:rsidRPr="00565EDB">
                <w:rPr>
                  <w:rFonts w:cs="Arial"/>
                  <w:color w:val="0000FF" w:themeColor="hyperlink"/>
                  <w:sz w:val="22"/>
                  <w:u w:val="single"/>
                </w:rPr>
                <w:t>chops.zdar@charita.cz</w:t>
              </w:r>
            </w:hyperlink>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Forma poskytování sociální služby</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Terénní</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Druh sociální služby</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Zdravotní</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Cílová skupina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se zdravotním postižením</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Senioři</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 chronickým a akutním onemocněním</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Imobilní pacienti, nemocní s obtížnou dostupností</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Věková struktura</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Bez věkového omezení</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Počet osob na území města Velké Meziříčí (stav k 31. 7. 2013)</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63 pacientů ve Velkém Meziříčí a okolních obcích</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Výhled do budoucna ve vztahu k poskytování sociálních služeb na území města Velké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Vzhledem ke stárnutí naší populace a vzhledem ke zkracování doby hospitalizací předpokládáme nárůst požadavků na poskytování CHOS.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Provozní doba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Nepřetržitá-24h denně včetně sobot, nedělí a svátků dle ordinace lékařů. </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Ostatní (např. požadavek na dotační prostředky v roce 2014 od Velkého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Příspěvek na provoz služebního automobilu. </w:t>
            </w:r>
          </w:p>
        </w:tc>
      </w:tr>
    </w:tbl>
    <w:p w:rsidR="009D1A00" w:rsidRPr="009D1A00" w:rsidRDefault="009D1A00" w:rsidP="009D1A00"/>
    <w:p w:rsidR="000D1D74" w:rsidRDefault="000D1D74">
      <w:pPr>
        <w:spacing w:before="0" w:after="200" w:line="276" w:lineRule="auto"/>
        <w:jc w:val="left"/>
        <w:rPr>
          <w:rFonts w:eastAsiaTheme="majorEastAsia" w:cstheme="majorBidi"/>
          <w:b/>
          <w:bCs/>
          <w:sz w:val="28"/>
        </w:rPr>
      </w:pPr>
      <w:r>
        <w:br w:type="page"/>
      </w:r>
    </w:p>
    <w:p w:rsidR="00620880" w:rsidRPr="00DD261D" w:rsidRDefault="00620880" w:rsidP="00996CAC">
      <w:pPr>
        <w:pStyle w:val="Nadpis4"/>
      </w:pPr>
      <w:bookmarkStart w:id="49" w:name="_Toc367278154"/>
      <w:r w:rsidRPr="00DD261D">
        <w:t>Centrum Kociánka (Dětské středisko Březejc)</w:t>
      </w:r>
      <w:bookmarkEnd w:id="49"/>
    </w:p>
    <w:p w:rsidR="008030CD" w:rsidRDefault="008030CD" w:rsidP="00565EDB">
      <w:r w:rsidRPr="008030CD">
        <w:t>Dětské středisko Březejc je odloučeným pracovištěm Centra Kociánka Brno.</w:t>
      </w:r>
      <w:r>
        <w:t xml:space="preserve"> Služba nabízí klientům všestrannou péči a připravuje je na sociální začlenění ve spolupráci se Základní a Střední školou Březejc. </w:t>
      </w:r>
    </w:p>
    <w:p w:rsidR="008030CD" w:rsidRPr="00565EDB" w:rsidRDefault="008030CD" w:rsidP="00565EDB"/>
    <w:p w:rsidR="003241BC" w:rsidRPr="003241BC" w:rsidRDefault="003241BC" w:rsidP="003241BC">
      <w:pPr>
        <w:pStyle w:val="Titulek"/>
        <w:keepNext/>
        <w:rPr>
          <w:b w:val="0"/>
        </w:rPr>
      </w:pPr>
      <w:bookmarkStart w:id="50" w:name="_Toc367794857"/>
      <w:r>
        <w:t xml:space="preserve">Tabulka č. </w:t>
      </w:r>
      <w:r w:rsidR="00EE3646">
        <w:fldChar w:fldCharType="begin"/>
      </w:r>
      <w:r w:rsidR="00EE3646">
        <w:instrText xml:space="preserve"> SEQ Tabulka_č. \* ARABIC </w:instrText>
      </w:r>
      <w:r w:rsidR="00EE3646">
        <w:fldChar w:fldCharType="separate"/>
      </w:r>
      <w:r w:rsidR="00594151">
        <w:rPr>
          <w:noProof/>
        </w:rPr>
        <w:t>13</w:t>
      </w:r>
      <w:r w:rsidR="00EE3646">
        <w:rPr>
          <w:noProof/>
        </w:rPr>
        <w:fldChar w:fldCharType="end"/>
      </w:r>
      <w:r>
        <w:t xml:space="preserve">: </w:t>
      </w:r>
      <w:r>
        <w:rPr>
          <w:b w:val="0"/>
        </w:rPr>
        <w:t>Centrum Kociánka (Dětské středisko Březejc)</w:t>
      </w:r>
      <w:bookmarkEnd w:id="50"/>
    </w:p>
    <w:tbl>
      <w:tblPr>
        <w:tblStyle w:val="Stednmka1zvraznn21"/>
        <w:tblW w:w="9180" w:type="dxa"/>
        <w:tblLook w:val="04A0" w:firstRow="1" w:lastRow="0" w:firstColumn="1" w:lastColumn="0" w:noHBand="0" w:noVBand="1"/>
      </w:tblPr>
      <w:tblGrid>
        <w:gridCol w:w="2376"/>
        <w:gridCol w:w="6804"/>
      </w:tblGrid>
      <w:tr w:rsidR="00565EDB" w:rsidRPr="00565EDB" w:rsidTr="0056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Název</w:t>
            </w:r>
          </w:p>
        </w:tc>
        <w:tc>
          <w:tcPr>
            <w:tcW w:w="6804" w:type="dxa"/>
          </w:tcPr>
          <w:p w:rsidR="00565EDB" w:rsidRPr="00565EDB" w:rsidRDefault="00565EDB" w:rsidP="00565EDB">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Centrum Kociánka (Dětské středisko Březejc)</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Adresa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0"/>
              </w:rPr>
              <w:t>Centrum Kociánka:</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Kociánka 93/2</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612 00 Brno - Královo Pole</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Dětské středisko Březejc: </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Sviny 13</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594 01 Sviny</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14"/>
              </w:rPr>
              <w:t>* Zdroj dat: Registr poskytovatelů sociálních služeb, dostupný na iregistr.mpsv.cz</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Kontakt</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Mgr. Václav Šerák - vedoucí týdenního stacionáře, 775 404 056, 515 504 281, </w:t>
            </w:r>
            <w:hyperlink r:id="rId41" w:history="1">
              <w:r w:rsidRPr="00565EDB">
                <w:rPr>
                  <w:rFonts w:cs="Arial"/>
                  <w:color w:val="0000FF" w:themeColor="hyperlink"/>
                  <w:sz w:val="22"/>
                  <w:u w:val="single"/>
                </w:rPr>
                <w:t>vaclav.serak@kocianka.cz</w:t>
              </w:r>
            </w:hyperlink>
            <w:r w:rsidRPr="00565EDB">
              <w:rPr>
                <w:rFonts w:cs="Arial"/>
                <w:sz w:val="22"/>
              </w:rPr>
              <w:t xml:space="preserve">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0"/>
              </w:rPr>
            </w:pPr>
            <w:r w:rsidRPr="00565EDB">
              <w:rPr>
                <w:rFonts w:cs="Arial"/>
                <w:sz w:val="22"/>
              </w:rPr>
              <w:t xml:space="preserve">Mgr. Miroslav Štěpánek-vedoucí DS Březejc, 720 118 147, 566 522 089, </w:t>
            </w:r>
            <w:hyperlink r:id="rId42" w:history="1">
              <w:r w:rsidRPr="00565EDB">
                <w:rPr>
                  <w:rFonts w:cs="Arial"/>
                  <w:color w:val="0000FF" w:themeColor="hyperlink"/>
                  <w:sz w:val="22"/>
                  <w:u w:val="single"/>
                </w:rPr>
                <w:t>stepanek@dsbrezejc.cz</w:t>
              </w:r>
            </w:hyperlink>
            <w:r w:rsidRPr="00565EDB">
              <w:rPr>
                <w:rFonts w:cs="Arial"/>
                <w:sz w:val="22"/>
              </w:rPr>
              <w:t xml:space="preserve">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Forma poskytování sociální služby</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Pobytová</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Ambulantní</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Druh sociální služby</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Týdenní stacionář</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Denní stacionář</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Odlehčovací služby</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Cílová skupina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 mentálním postižením</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 tělesným postižením</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 kombinovaným postižením</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Věková struktura</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3 - 40 let</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Počet osob na území města Velké Meziříčí (stav k 31. 7. 2013)</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1</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Výhled do budoucna ve vztahu k poskytování sociálních služeb na území města Velké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V Současné době Centrum kociánka zpracovává rozvojový plán organizace a čeká na vyjádření zřizovatele.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V horizontu dvou až tří let budeme nadále v detašovaném pracovišti na Březejci poskytovat sociální služby.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Provozní doba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Pondělí - pátek nepřetržitě</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Ostatní (např. požadavek na dotační prostředky v roce 2014 od Velkého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Finanční dotace na kulturní a sportovní akce pořádané v DS Březejc a Velkém Meziříčí. </w:t>
            </w:r>
          </w:p>
        </w:tc>
      </w:tr>
    </w:tbl>
    <w:p w:rsidR="009D1A00" w:rsidRDefault="009D1A00" w:rsidP="009D1A00"/>
    <w:p w:rsidR="00D822DB" w:rsidRDefault="00D822DB">
      <w:pPr>
        <w:spacing w:before="0" w:after="200" w:line="276" w:lineRule="auto"/>
        <w:jc w:val="left"/>
      </w:pPr>
      <w:r>
        <w:br w:type="page"/>
      </w:r>
    </w:p>
    <w:p w:rsidR="00D822DB" w:rsidRDefault="00D822DB" w:rsidP="00D822DB">
      <w:pPr>
        <w:pStyle w:val="Nadpis4"/>
      </w:pPr>
      <w:r w:rsidRPr="00D822DB">
        <w:t xml:space="preserve">Zdeňka Lancmanová osobní asistent - pečovatel </w:t>
      </w:r>
    </w:p>
    <w:p w:rsidR="00D822DB" w:rsidRDefault="00D822DB" w:rsidP="00D822DB"/>
    <w:p w:rsidR="00CB4EC0" w:rsidRDefault="00D822DB" w:rsidP="00D822DB">
      <w:r>
        <w:t>Posláním osobní asistence a pečovatelské služby je poskytnout takovou podporu a pomoc uživatelům, která umožňuje zachovat v maximální míře jejich dosavadní způsob života, pomáhat v nepříznivých životních situacích, zvládat pobyt v domácím prostředí, zajišťovat</w:t>
      </w:r>
      <w:r w:rsidR="00CB4EC0">
        <w:t xml:space="preserve"> nutné práce v domácnosti a další životní potřeby. </w:t>
      </w:r>
    </w:p>
    <w:p w:rsidR="00CB4EC0" w:rsidRDefault="00CB4EC0" w:rsidP="00D822DB">
      <w:r w:rsidRPr="00CB4EC0">
        <w:t xml:space="preserve">Osobní asistence </w:t>
      </w:r>
      <w:r>
        <w:t>a pečovatelská služba jsou poskytovány jako služby te</w:t>
      </w:r>
      <w:r w:rsidRPr="00CB4EC0">
        <w:t>rénní v domácnostech uživatelů, která umožňuje lidem v nepříznivé sociální situaci využívat místní instituce, zůstat součástí přirozeného společenství, žít běžným způsobem života a uplatnit své vlastní možnosti. Pečovatelé sociální služby zachovávají a rozvíjejí důstojný život těch, kteří je využívají.</w:t>
      </w:r>
      <w:r>
        <w:t xml:space="preserve"> </w:t>
      </w:r>
    </w:p>
    <w:p w:rsidR="00CB4EC0" w:rsidRDefault="00CB4EC0" w:rsidP="00D822DB"/>
    <w:p w:rsidR="00594151" w:rsidRDefault="00594151" w:rsidP="00594151">
      <w:pPr>
        <w:pStyle w:val="Titulek"/>
        <w:keepNext/>
      </w:pPr>
      <w:bookmarkStart w:id="51" w:name="_Toc367794858"/>
      <w:r>
        <w:t xml:space="preserve">Tabulka č. </w:t>
      </w:r>
      <w:r w:rsidR="00EE3646">
        <w:fldChar w:fldCharType="begin"/>
      </w:r>
      <w:r w:rsidR="00EE3646">
        <w:instrText xml:space="preserve"> SEQ Tabulka_č. \* ARABIC </w:instrText>
      </w:r>
      <w:r w:rsidR="00EE3646">
        <w:fldChar w:fldCharType="separate"/>
      </w:r>
      <w:r>
        <w:rPr>
          <w:noProof/>
        </w:rPr>
        <w:t>14</w:t>
      </w:r>
      <w:r w:rsidR="00EE3646">
        <w:rPr>
          <w:noProof/>
        </w:rPr>
        <w:fldChar w:fldCharType="end"/>
      </w:r>
      <w:r>
        <w:t xml:space="preserve">: </w:t>
      </w:r>
      <w:r w:rsidRPr="00594151">
        <w:rPr>
          <w:b w:val="0"/>
        </w:rPr>
        <w:t xml:space="preserve">Zdeňka Lancmanová osobní asistent </w:t>
      </w:r>
      <w:r>
        <w:rPr>
          <w:b w:val="0"/>
        </w:rPr>
        <w:t>–</w:t>
      </w:r>
      <w:r w:rsidRPr="00594151">
        <w:rPr>
          <w:b w:val="0"/>
        </w:rPr>
        <w:t xml:space="preserve"> pečovatel</w:t>
      </w:r>
      <w:r>
        <w:rPr>
          <w:b w:val="0"/>
        </w:rPr>
        <w:t>.</w:t>
      </w:r>
      <w:bookmarkEnd w:id="51"/>
    </w:p>
    <w:tbl>
      <w:tblPr>
        <w:tblStyle w:val="Stednmka1zvraznn43"/>
        <w:tblW w:w="0" w:type="auto"/>
        <w:tblLook w:val="04A0" w:firstRow="1" w:lastRow="0" w:firstColumn="1" w:lastColumn="0" w:noHBand="0" w:noVBand="1"/>
      </w:tblPr>
      <w:tblGrid>
        <w:gridCol w:w="2376"/>
        <w:gridCol w:w="6804"/>
      </w:tblGrid>
      <w:tr w:rsidR="00CB4EC0" w:rsidRPr="00CB4EC0" w:rsidTr="00CB4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CB4EC0" w:rsidRPr="00CB4EC0" w:rsidRDefault="00CB4EC0" w:rsidP="00CB4EC0">
            <w:pPr>
              <w:spacing w:before="0"/>
              <w:jc w:val="center"/>
              <w:rPr>
                <w:rFonts w:cs="Arial"/>
                <w:sz w:val="20"/>
              </w:rPr>
            </w:pPr>
            <w:r w:rsidRPr="00CB4EC0">
              <w:rPr>
                <w:rFonts w:cs="Arial"/>
                <w:sz w:val="20"/>
              </w:rPr>
              <w:t>Název</w:t>
            </w:r>
          </w:p>
        </w:tc>
        <w:tc>
          <w:tcPr>
            <w:tcW w:w="6804" w:type="dxa"/>
            <w:vAlign w:val="center"/>
          </w:tcPr>
          <w:p w:rsidR="00CB4EC0" w:rsidRPr="00CB4EC0" w:rsidRDefault="00CB4EC0" w:rsidP="00CB4EC0">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CB4EC0">
              <w:rPr>
                <w:rFonts w:cs="Arial"/>
                <w:sz w:val="28"/>
              </w:rPr>
              <w:t>Zdeňka Lancmanová osobní asistent - pečovatel</w:t>
            </w:r>
          </w:p>
        </w:tc>
      </w:tr>
      <w:tr w:rsidR="00CB4EC0" w:rsidRPr="00CB4EC0" w:rsidTr="00CB4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CB4EC0" w:rsidRPr="00CB4EC0" w:rsidRDefault="00CB4EC0" w:rsidP="00CB4EC0">
            <w:pPr>
              <w:spacing w:before="0"/>
              <w:jc w:val="center"/>
              <w:rPr>
                <w:rFonts w:cs="Arial"/>
                <w:sz w:val="20"/>
              </w:rPr>
            </w:pPr>
            <w:r w:rsidRPr="00CB4EC0">
              <w:rPr>
                <w:rFonts w:cs="Arial"/>
                <w:sz w:val="20"/>
              </w:rPr>
              <w:t>Adresa</w:t>
            </w:r>
          </w:p>
        </w:tc>
        <w:tc>
          <w:tcPr>
            <w:tcW w:w="6804" w:type="dxa"/>
            <w:vAlign w:val="center"/>
          </w:tcPr>
          <w:p w:rsidR="00CB4EC0" w:rsidRPr="00CB4EC0" w:rsidRDefault="00CB4EC0" w:rsidP="00CB4EC0">
            <w:pPr>
              <w:spacing w:before="0"/>
              <w:jc w:val="left"/>
              <w:cnfStyle w:val="000000100000" w:firstRow="0" w:lastRow="0" w:firstColumn="0" w:lastColumn="0" w:oddVBand="0" w:evenVBand="0" w:oddHBand="1" w:evenHBand="0" w:firstRowFirstColumn="0" w:firstRowLastColumn="0" w:lastRowFirstColumn="0" w:lastRowLastColumn="0"/>
              <w:rPr>
                <w:rFonts w:cs="Arial"/>
                <w:sz w:val="20"/>
              </w:rPr>
            </w:pPr>
            <w:r w:rsidRPr="00CB4EC0">
              <w:rPr>
                <w:rFonts w:cs="Arial"/>
                <w:sz w:val="20"/>
              </w:rPr>
              <w:t>Nad Sv. Josefem 1719/17</w:t>
            </w:r>
          </w:p>
          <w:p w:rsidR="00CB4EC0" w:rsidRPr="00CB4EC0" w:rsidRDefault="00CB4EC0" w:rsidP="00CB4EC0">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CB4EC0">
              <w:rPr>
                <w:rFonts w:cs="Arial"/>
                <w:sz w:val="20"/>
              </w:rPr>
              <w:t>594 01 Velké Meziříčí</w:t>
            </w:r>
          </w:p>
        </w:tc>
      </w:tr>
      <w:tr w:rsidR="00CB4EC0" w:rsidRPr="00CB4EC0" w:rsidTr="00CB4EC0">
        <w:tc>
          <w:tcPr>
            <w:cnfStyle w:val="001000000000" w:firstRow="0" w:lastRow="0" w:firstColumn="1" w:lastColumn="0" w:oddVBand="0" w:evenVBand="0" w:oddHBand="0" w:evenHBand="0" w:firstRowFirstColumn="0" w:firstRowLastColumn="0" w:lastRowFirstColumn="0" w:lastRowLastColumn="0"/>
            <w:tcW w:w="2376" w:type="dxa"/>
            <w:vAlign w:val="center"/>
          </w:tcPr>
          <w:p w:rsidR="00CB4EC0" w:rsidRPr="00CB4EC0" w:rsidRDefault="00CB4EC0" w:rsidP="00CB4EC0">
            <w:pPr>
              <w:spacing w:before="0"/>
              <w:jc w:val="center"/>
              <w:rPr>
                <w:rFonts w:cs="Arial"/>
                <w:sz w:val="20"/>
              </w:rPr>
            </w:pPr>
            <w:r w:rsidRPr="00CB4EC0">
              <w:rPr>
                <w:rFonts w:cs="Arial"/>
                <w:sz w:val="20"/>
              </w:rPr>
              <w:t>Kontakt</w:t>
            </w:r>
          </w:p>
        </w:tc>
        <w:tc>
          <w:tcPr>
            <w:tcW w:w="6804" w:type="dxa"/>
            <w:vAlign w:val="center"/>
          </w:tcPr>
          <w:p w:rsidR="00CB4EC0" w:rsidRPr="00CB4EC0" w:rsidRDefault="00CB4EC0" w:rsidP="00CB4EC0">
            <w:pPr>
              <w:spacing w:before="0"/>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 xml:space="preserve">Zdeňka Lancmanová-566 524 514, 790 207 226, 604 869 998, </w:t>
            </w:r>
            <w:hyperlink r:id="rId43" w:history="1">
              <w:r w:rsidRPr="00CB4EC0">
                <w:rPr>
                  <w:rFonts w:cs="Arial"/>
                  <w:color w:val="0000FF" w:themeColor="hyperlink"/>
                  <w:sz w:val="20"/>
                  <w:u w:val="single"/>
                </w:rPr>
                <w:t>karel.lancman@seznam.cz</w:t>
              </w:r>
            </w:hyperlink>
          </w:p>
        </w:tc>
      </w:tr>
      <w:tr w:rsidR="00CB4EC0" w:rsidRPr="00CB4EC0" w:rsidTr="00CB4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CB4EC0" w:rsidRPr="00CB4EC0" w:rsidRDefault="00CB4EC0" w:rsidP="00CB4EC0">
            <w:pPr>
              <w:spacing w:before="0"/>
              <w:jc w:val="center"/>
              <w:rPr>
                <w:rFonts w:cs="Arial"/>
                <w:sz w:val="20"/>
              </w:rPr>
            </w:pPr>
            <w:r w:rsidRPr="00CB4EC0">
              <w:rPr>
                <w:rFonts w:cs="Arial"/>
                <w:sz w:val="20"/>
              </w:rPr>
              <w:t>Druh sociální služby</w:t>
            </w:r>
          </w:p>
        </w:tc>
        <w:tc>
          <w:tcPr>
            <w:tcW w:w="6804" w:type="dxa"/>
            <w:vAlign w:val="center"/>
          </w:tcPr>
          <w:p w:rsidR="00CB4EC0" w:rsidRPr="00CB4EC0" w:rsidRDefault="00CB4EC0" w:rsidP="00CB4EC0">
            <w:pPr>
              <w:numPr>
                <w:ilvl w:val="0"/>
                <w:numId w:val="34"/>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CB4EC0">
              <w:rPr>
                <w:rFonts w:cs="Arial"/>
                <w:sz w:val="20"/>
              </w:rPr>
              <w:t>Pečovatelská služba</w:t>
            </w:r>
          </w:p>
          <w:p w:rsidR="00CB4EC0" w:rsidRPr="00CB4EC0" w:rsidRDefault="00CB4EC0" w:rsidP="00CB4EC0">
            <w:pPr>
              <w:numPr>
                <w:ilvl w:val="0"/>
                <w:numId w:val="34"/>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CB4EC0">
              <w:rPr>
                <w:rFonts w:cs="Arial"/>
                <w:sz w:val="20"/>
              </w:rPr>
              <w:t>Osobní asistence</w:t>
            </w:r>
          </w:p>
        </w:tc>
      </w:tr>
      <w:tr w:rsidR="00CB4EC0" w:rsidRPr="00CB4EC0" w:rsidTr="00CB4EC0">
        <w:tc>
          <w:tcPr>
            <w:cnfStyle w:val="001000000000" w:firstRow="0" w:lastRow="0" w:firstColumn="1" w:lastColumn="0" w:oddVBand="0" w:evenVBand="0" w:oddHBand="0" w:evenHBand="0" w:firstRowFirstColumn="0" w:firstRowLastColumn="0" w:lastRowFirstColumn="0" w:lastRowLastColumn="0"/>
            <w:tcW w:w="2376" w:type="dxa"/>
            <w:vAlign w:val="center"/>
          </w:tcPr>
          <w:p w:rsidR="00CB4EC0" w:rsidRPr="00CB4EC0" w:rsidRDefault="00CB4EC0" w:rsidP="00CB4EC0">
            <w:pPr>
              <w:spacing w:before="0"/>
              <w:jc w:val="center"/>
              <w:rPr>
                <w:rFonts w:cs="Arial"/>
                <w:sz w:val="20"/>
              </w:rPr>
            </w:pPr>
            <w:r w:rsidRPr="00CB4EC0">
              <w:rPr>
                <w:rFonts w:cs="Arial"/>
                <w:sz w:val="20"/>
              </w:rPr>
              <w:t>Forma poskytování sociální služby</w:t>
            </w:r>
          </w:p>
        </w:tc>
        <w:tc>
          <w:tcPr>
            <w:tcW w:w="6804" w:type="dxa"/>
            <w:vAlign w:val="center"/>
          </w:tcPr>
          <w:p w:rsidR="00CB4EC0" w:rsidRPr="00CB4EC0" w:rsidRDefault="00CB4EC0" w:rsidP="00CB4EC0">
            <w:pPr>
              <w:spacing w:before="0"/>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Terénní</w:t>
            </w:r>
          </w:p>
        </w:tc>
      </w:tr>
      <w:tr w:rsidR="00CB4EC0" w:rsidRPr="00CB4EC0" w:rsidTr="00CB4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CB4EC0" w:rsidRPr="00CB4EC0" w:rsidRDefault="00CB4EC0" w:rsidP="00CB4EC0">
            <w:pPr>
              <w:spacing w:before="0"/>
              <w:jc w:val="center"/>
              <w:rPr>
                <w:rFonts w:cs="Arial"/>
                <w:sz w:val="20"/>
              </w:rPr>
            </w:pPr>
            <w:r w:rsidRPr="00CB4EC0">
              <w:rPr>
                <w:rFonts w:cs="Arial"/>
                <w:sz w:val="20"/>
              </w:rPr>
              <w:t>Cílová skupina</w:t>
            </w:r>
          </w:p>
        </w:tc>
        <w:tc>
          <w:tcPr>
            <w:tcW w:w="6804" w:type="dxa"/>
            <w:vAlign w:val="center"/>
          </w:tcPr>
          <w:p w:rsidR="00CB4EC0" w:rsidRPr="00CB4EC0" w:rsidRDefault="00CB4EC0" w:rsidP="00CB4EC0">
            <w:pPr>
              <w:numPr>
                <w:ilvl w:val="0"/>
                <w:numId w:val="35"/>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CB4EC0">
              <w:rPr>
                <w:rFonts w:cs="Arial"/>
                <w:sz w:val="20"/>
              </w:rPr>
              <w:t>Osoby se zdravotním postižením</w:t>
            </w:r>
          </w:p>
          <w:p w:rsidR="00CB4EC0" w:rsidRPr="00CB4EC0" w:rsidRDefault="00CB4EC0" w:rsidP="00CB4EC0">
            <w:pPr>
              <w:spacing w:before="0"/>
              <w:ind w:left="72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CB4EC0">
              <w:rPr>
                <w:rFonts w:cs="Arial"/>
                <w:sz w:val="20"/>
              </w:rPr>
              <w:t>Senioři</w:t>
            </w:r>
          </w:p>
          <w:p w:rsidR="00CB4EC0" w:rsidRPr="00CB4EC0" w:rsidRDefault="00CB4EC0" w:rsidP="00CB4EC0">
            <w:pPr>
              <w:numPr>
                <w:ilvl w:val="0"/>
                <w:numId w:val="35"/>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CB4EC0">
              <w:rPr>
                <w:rFonts w:cs="Arial"/>
                <w:sz w:val="20"/>
              </w:rPr>
              <w:t>Osoby s tělesným postižením</w:t>
            </w:r>
          </w:p>
        </w:tc>
      </w:tr>
      <w:tr w:rsidR="00CB4EC0" w:rsidRPr="00CB4EC0" w:rsidTr="00CB4EC0">
        <w:tc>
          <w:tcPr>
            <w:cnfStyle w:val="001000000000" w:firstRow="0" w:lastRow="0" w:firstColumn="1" w:lastColumn="0" w:oddVBand="0" w:evenVBand="0" w:oddHBand="0" w:evenHBand="0" w:firstRowFirstColumn="0" w:firstRowLastColumn="0" w:lastRowFirstColumn="0" w:lastRowLastColumn="0"/>
            <w:tcW w:w="2376" w:type="dxa"/>
            <w:vAlign w:val="center"/>
          </w:tcPr>
          <w:p w:rsidR="00CB4EC0" w:rsidRPr="00CB4EC0" w:rsidRDefault="00CB4EC0" w:rsidP="00CB4EC0">
            <w:pPr>
              <w:spacing w:before="0"/>
              <w:jc w:val="center"/>
              <w:rPr>
                <w:rFonts w:cs="Arial"/>
                <w:sz w:val="20"/>
              </w:rPr>
            </w:pPr>
            <w:r w:rsidRPr="00CB4EC0">
              <w:rPr>
                <w:rFonts w:cs="Arial"/>
                <w:sz w:val="20"/>
              </w:rPr>
              <w:t>Věková struktura</w:t>
            </w:r>
          </w:p>
        </w:tc>
        <w:tc>
          <w:tcPr>
            <w:tcW w:w="6804" w:type="dxa"/>
            <w:vAlign w:val="center"/>
          </w:tcPr>
          <w:p w:rsidR="00CB4EC0" w:rsidRPr="00CB4EC0" w:rsidRDefault="00CB4EC0" w:rsidP="00CB4EC0">
            <w:pPr>
              <w:numPr>
                <w:ilvl w:val="0"/>
                <w:numId w:val="36"/>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Dospělí 27-64 let</w:t>
            </w:r>
          </w:p>
          <w:p w:rsidR="00CB4EC0" w:rsidRPr="00CB4EC0" w:rsidRDefault="00CB4EC0" w:rsidP="00CB4EC0">
            <w:pPr>
              <w:spacing w:before="0"/>
              <w:ind w:left="72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Mladší senioři 65-80 let</w:t>
            </w:r>
          </w:p>
          <w:p w:rsidR="00CB4EC0" w:rsidRPr="00CB4EC0" w:rsidRDefault="00CB4EC0" w:rsidP="00CB4EC0">
            <w:pPr>
              <w:spacing w:before="0"/>
              <w:ind w:left="72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Starší senioři nad 80 let</w:t>
            </w:r>
          </w:p>
          <w:p w:rsidR="00CB4EC0" w:rsidRPr="00CB4EC0" w:rsidRDefault="00CB4EC0" w:rsidP="00CB4EC0">
            <w:pPr>
              <w:numPr>
                <w:ilvl w:val="0"/>
                <w:numId w:val="36"/>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Děti předškolního věku 3-7 let</w:t>
            </w:r>
          </w:p>
          <w:p w:rsidR="00CB4EC0" w:rsidRPr="00CB4EC0" w:rsidRDefault="00CB4EC0" w:rsidP="00CB4EC0">
            <w:pPr>
              <w:spacing w:before="0"/>
              <w:ind w:left="72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Mladší děti 7-10 let</w:t>
            </w:r>
          </w:p>
          <w:p w:rsidR="00CB4EC0" w:rsidRPr="00CB4EC0" w:rsidRDefault="00CB4EC0" w:rsidP="00CB4EC0">
            <w:pPr>
              <w:spacing w:before="0"/>
              <w:ind w:left="72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Starší děti 11-15 let</w:t>
            </w:r>
          </w:p>
          <w:p w:rsidR="00CB4EC0" w:rsidRPr="00CB4EC0" w:rsidRDefault="00CB4EC0" w:rsidP="00CB4EC0">
            <w:pPr>
              <w:spacing w:before="0"/>
              <w:ind w:left="72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Dorost 16-18 let</w:t>
            </w:r>
          </w:p>
          <w:p w:rsidR="00CB4EC0" w:rsidRPr="00CB4EC0" w:rsidRDefault="00CB4EC0" w:rsidP="00CB4EC0">
            <w:pPr>
              <w:spacing w:before="0"/>
              <w:ind w:left="72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Mladí dospělí 19-26 let</w:t>
            </w:r>
          </w:p>
          <w:p w:rsidR="00CB4EC0" w:rsidRPr="00CB4EC0" w:rsidRDefault="00CB4EC0" w:rsidP="00CB4EC0">
            <w:pPr>
              <w:spacing w:before="0"/>
              <w:ind w:left="72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Dospělí 27-64 let</w:t>
            </w:r>
          </w:p>
          <w:p w:rsidR="00CB4EC0" w:rsidRPr="00CB4EC0" w:rsidRDefault="00CB4EC0" w:rsidP="00CB4EC0">
            <w:pPr>
              <w:spacing w:before="0"/>
              <w:ind w:left="72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Mladší senioři 65-80 let</w:t>
            </w:r>
          </w:p>
          <w:p w:rsidR="00CB4EC0" w:rsidRPr="00CB4EC0" w:rsidRDefault="00CB4EC0" w:rsidP="00CB4EC0">
            <w:pPr>
              <w:spacing w:before="0"/>
              <w:ind w:left="72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Starší senioři nad 80 let</w:t>
            </w:r>
          </w:p>
        </w:tc>
      </w:tr>
      <w:tr w:rsidR="00CB4EC0" w:rsidRPr="00CB4EC0" w:rsidTr="00CB4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CB4EC0" w:rsidRPr="00CB4EC0" w:rsidRDefault="00CB4EC0" w:rsidP="00CB4EC0">
            <w:pPr>
              <w:spacing w:before="0"/>
              <w:jc w:val="center"/>
              <w:rPr>
                <w:rFonts w:cs="Arial"/>
                <w:sz w:val="20"/>
              </w:rPr>
            </w:pPr>
            <w:r w:rsidRPr="00CB4EC0">
              <w:rPr>
                <w:rFonts w:cs="Arial"/>
                <w:sz w:val="20"/>
              </w:rPr>
              <w:t>Počet osob na území města Velké Meziříčí (stav k 31. 7. 2013)</w:t>
            </w:r>
          </w:p>
        </w:tc>
        <w:tc>
          <w:tcPr>
            <w:tcW w:w="6804" w:type="dxa"/>
            <w:vAlign w:val="center"/>
          </w:tcPr>
          <w:p w:rsidR="00CB4EC0" w:rsidRPr="00CB4EC0" w:rsidRDefault="00CB4EC0" w:rsidP="00CB4EC0">
            <w:pPr>
              <w:numPr>
                <w:ilvl w:val="0"/>
                <w:numId w:val="37"/>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CB4EC0">
              <w:rPr>
                <w:rFonts w:cs="Arial"/>
                <w:sz w:val="20"/>
              </w:rPr>
              <w:t>4 uživatelé</w:t>
            </w:r>
          </w:p>
          <w:p w:rsidR="00CB4EC0" w:rsidRPr="00CB4EC0" w:rsidRDefault="00CB4EC0" w:rsidP="00CB4EC0">
            <w:pPr>
              <w:numPr>
                <w:ilvl w:val="0"/>
                <w:numId w:val="37"/>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CB4EC0">
              <w:rPr>
                <w:rFonts w:cs="Arial"/>
                <w:sz w:val="20"/>
              </w:rPr>
              <w:t>2 uživatelé</w:t>
            </w:r>
          </w:p>
        </w:tc>
      </w:tr>
      <w:tr w:rsidR="00CB4EC0" w:rsidRPr="00CB4EC0" w:rsidTr="00CB4EC0">
        <w:tc>
          <w:tcPr>
            <w:cnfStyle w:val="001000000000" w:firstRow="0" w:lastRow="0" w:firstColumn="1" w:lastColumn="0" w:oddVBand="0" w:evenVBand="0" w:oddHBand="0" w:evenHBand="0" w:firstRowFirstColumn="0" w:firstRowLastColumn="0" w:lastRowFirstColumn="0" w:lastRowLastColumn="0"/>
            <w:tcW w:w="2376" w:type="dxa"/>
            <w:vAlign w:val="center"/>
          </w:tcPr>
          <w:p w:rsidR="00CB4EC0" w:rsidRPr="00CB4EC0" w:rsidRDefault="00CB4EC0" w:rsidP="00CB4EC0">
            <w:pPr>
              <w:spacing w:before="0"/>
              <w:jc w:val="center"/>
              <w:rPr>
                <w:rFonts w:cs="Arial"/>
                <w:sz w:val="20"/>
              </w:rPr>
            </w:pPr>
            <w:r w:rsidRPr="00CB4EC0">
              <w:rPr>
                <w:rFonts w:cs="Arial"/>
                <w:sz w:val="20"/>
              </w:rPr>
              <w:t>Výhled do budoucna ve vztahu k poskytování sociálních služeb na území města Velké Meziříčí</w:t>
            </w:r>
          </w:p>
        </w:tc>
        <w:tc>
          <w:tcPr>
            <w:tcW w:w="6804" w:type="dxa"/>
            <w:vAlign w:val="center"/>
          </w:tcPr>
          <w:p w:rsidR="00CB4EC0" w:rsidRPr="00CB4EC0" w:rsidRDefault="00CB4EC0" w:rsidP="00CB4EC0">
            <w:pPr>
              <w:spacing w:before="0"/>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 xml:space="preserve">Navýšení počtu uživatelů: </w:t>
            </w:r>
          </w:p>
          <w:p w:rsidR="00CB4EC0" w:rsidRPr="00CB4EC0" w:rsidRDefault="00CB4EC0" w:rsidP="00CB4EC0">
            <w:pPr>
              <w:numPr>
                <w:ilvl w:val="0"/>
                <w:numId w:val="38"/>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6 - 7 uživatelů</w:t>
            </w:r>
          </w:p>
          <w:p w:rsidR="00CB4EC0" w:rsidRPr="00CB4EC0" w:rsidRDefault="00CB4EC0" w:rsidP="00CB4EC0">
            <w:pPr>
              <w:numPr>
                <w:ilvl w:val="0"/>
                <w:numId w:val="38"/>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3 uživatelé</w:t>
            </w:r>
          </w:p>
        </w:tc>
      </w:tr>
      <w:tr w:rsidR="00CB4EC0" w:rsidRPr="00CB4EC0" w:rsidTr="00CB4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CB4EC0" w:rsidRPr="00CB4EC0" w:rsidRDefault="00CB4EC0" w:rsidP="00CB4EC0">
            <w:pPr>
              <w:spacing w:before="0"/>
              <w:jc w:val="center"/>
              <w:rPr>
                <w:rFonts w:cs="Arial"/>
                <w:sz w:val="20"/>
              </w:rPr>
            </w:pPr>
            <w:r w:rsidRPr="00CB4EC0">
              <w:rPr>
                <w:rFonts w:cs="Arial"/>
                <w:sz w:val="20"/>
              </w:rPr>
              <w:t>Provozní doba</w:t>
            </w:r>
          </w:p>
        </w:tc>
        <w:tc>
          <w:tcPr>
            <w:tcW w:w="6804" w:type="dxa"/>
            <w:vAlign w:val="center"/>
          </w:tcPr>
          <w:p w:rsidR="00CB4EC0" w:rsidRPr="00CB4EC0" w:rsidRDefault="00CB4EC0" w:rsidP="00CB4EC0">
            <w:pPr>
              <w:spacing w:before="0"/>
              <w:jc w:val="left"/>
              <w:cnfStyle w:val="000000100000" w:firstRow="0" w:lastRow="0" w:firstColumn="0" w:lastColumn="0" w:oddVBand="0" w:evenVBand="0" w:oddHBand="1" w:evenHBand="0" w:firstRowFirstColumn="0" w:firstRowLastColumn="0" w:lastRowFirstColumn="0" w:lastRowLastColumn="0"/>
              <w:rPr>
                <w:rFonts w:cs="Arial"/>
                <w:sz w:val="20"/>
              </w:rPr>
            </w:pPr>
            <w:r w:rsidRPr="00CB4EC0">
              <w:rPr>
                <w:rFonts w:cs="Arial"/>
                <w:sz w:val="20"/>
              </w:rPr>
              <w:t>Nepřetržitá</w:t>
            </w:r>
          </w:p>
        </w:tc>
      </w:tr>
      <w:tr w:rsidR="00CB4EC0" w:rsidRPr="00CB4EC0" w:rsidTr="00CB4EC0">
        <w:tc>
          <w:tcPr>
            <w:cnfStyle w:val="001000000000" w:firstRow="0" w:lastRow="0" w:firstColumn="1" w:lastColumn="0" w:oddVBand="0" w:evenVBand="0" w:oddHBand="0" w:evenHBand="0" w:firstRowFirstColumn="0" w:firstRowLastColumn="0" w:lastRowFirstColumn="0" w:lastRowLastColumn="0"/>
            <w:tcW w:w="2376" w:type="dxa"/>
            <w:vAlign w:val="center"/>
          </w:tcPr>
          <w:p w:rsidR="00CB4EC0" w:rsidRPr="00CB4EC0" w:rsidRDefault="00CB4EC0" w:rsidP="00CB4EC0">
            <w:pPr>
              <w:spacing w:before="0"/>
              <w:jc w:val="center"/>
              <w:rPr>
                <w:rFonts w:cs="Arial"/>
                <w:sz w:val="20"/>
              </w:rPr>
            </w:pPr>
            <w:r w:rsidRPr="00CB4EC0">
              <w:rPr>
                <w:rFonts w:cs="Arial"/>
                <w:sz w:val="20"/>
              </w:rPr>
              <w:t>Ostatní (např. požadavek na dotační prostředky v roce 2014 od Velkého Meziříčí)</w:t>
            </w:r>
          </w:p>
        </w:tc>
        <w:tc>
          <w:tcPr>
            <w:tcW w:w="6804" w:type="dxa"/>
            <w:vAlign w:val="center"/>
          </w:tcPr>
          <w:p w:rsidR="00CB4EC0" w:rsidRPr="00CB4EC0" w:rsidRDefault="00CB4EC0" w:rsidP="00CB4EC0">
            <w:pPr>
              <w:spacing w:before="0"/>
              <w:jc w:val="left"/>
              <w:cnfStyle w:val="000000000000" w:firstRow="0" w:lastRow="0" w:firstColumn="0" w:lastColumn="0" w:oddVBand="0" w:evenVBand="0" w:oddHBand="0" w:evenHBand="0" w:firstRowFirstColumn="0" w:firstRowLastColumn="0" w:lastRowFirstColumn="0" w:lastRowLastColumn="0"/>
              <w:rPr>
                <w:rFonts w:cs="Arial"/>
                <w:sz w:val="20"/>
              </w:rPr>
            </w:pPr>
            <w:r w:rsidRPr="00CB4EC0">
              <w:rPr>
                <w:rFonts w:cs="Arial"/>
                <w:sz w:val="20"/>
              </w:rPr>
              <w:t>50.000,- Kč (telefonní, poštovní poplatky, dopravné)</w:t>
            </w:r>
          </w:p>
        </w:tc>
      </w:tr>
    </w:tbl>
    <w:p w:rsidR="00D22F26" w:rsidRDefault="00D22F26" w:rsidP="00D822DB">
      <w:pPr>
        <w:rPr>
          <w:color w:val="FF0000"/>
          <w:szCs w:val="26"/>
        </w:rPr>
      </w:pPr>
      <w:r>
        <w:br w:type="page"/>
      </w:r>
    </w:p>
    <w:p w:rsidR="009D1A00" w:rsidRPr="00DD261D" w:rsidRDefault="009D1A00" w:rsidP="003241BC">
      <w:pPr>
        <w:pStyle w:val="Nadpis4"/>
        <w:numPr>
          <w:ilvl w:val="4"/>
          <w:numId w:val="31"/>
        </w:numPr>
        <w:spacing w:after="240"/>
        <w:ind w:left="1418"/>
        <w:jc w:val="left"/>
      </w:pPr>
      <w:bookmarkStart w:id="52" w:name="_Toc367278155"/>
      <w:r w:rsidRPr="00DD261D">
        <w:t>S</w:t>
      </w:r>
      <w:r w:rsidR="004A2909" w:rsidRPr="00DD261D">
        <w:t>lužby sociální prevence</w:t>
      </w:r>
      <w:bookmarkEnd w:id="52"/>
    </w:p>
    <w:p w:rsidR="009D1A00" w:rsidRPr="00DD261D" w:rsidRDefault="009D1A00" w:rsidP="003241BC">
      <w:pPr>
        <w:pStyle w:val="Nadpis4"/>
        <w:spacing w:before="0"/>
      </w:pPr>
      <w:bookmarkStart w:id="53" w:name="_Toc367278156"/>
      <w:r w:rsidRPr="00DD261D">
        <w:t>Liga vozíčkářů</w:t>
      </w:r>
      <w:bookmarkEnd w:id="53"/>
    </w:p>
    <w:p w:rsidR="00565EDB" w:rsidRDefault="008030CD" w:rsidP="003241BC">
      <w:pPr>
        <w:spacing w:before="0"/>
      </w:pPr>
      <w:r w:rsidRPr="008030CD">
        <w:t>Posláním Ligy vozíčkářů je podporovat lidi se zdravotním postižením v každodenním životě, v práci, volném čase a při řešení obtížných situací, aby mohli žít podle svých představ.</w:t>
      </w:r>
    </w:p>
    <w:p w:rsidR="00594151" w:rsidRPr="00565EDB" w:rsidRDefault="00594151" w:rsidP="003241BC">
      <w:pPr>
        <w:spacing w:before="0"/>
      </w:pPr>
    </w:p>
    <w:p w:rsidR="003241BC" w:rsidRPr="003241BC" w:rsidRDefault="003241BC" w:rsidP="003241BC">
      <w:pPr>
        <w:pStyle w:val="Titulek"/>
        <w:keepNext/>
        <w:rPr>
          <w:b w:val="0"/>
        </w:rPr>
      </w:pPr>
      <w:bookmarkStart w:id="54" w:name="_Toc367794859"/>
      <w:r>
        <w:t xml:space="preserve">Tabulka č. </w:t>
      </w:r>
      <w:r w:rsidR="00EE3646">
        <w:fldChar w:fldCharType="begin"/>
      </w:r>
      <w:r w:rsidR="00EE3646">
        <w:instrText xml:space="preserve"> SEQ Tabulka_č. \* ARABIC </w:instrText>
      </w:r>
      <w:r w:rsidR="00EE3646">
        <w:fldChar w:fldCharType="separate"/>
      </w:r>
      <w:r w:rsidR="00594151">
        <w:rPr>
          <w:noProof/>
        </w:rPr>
        <w:t>15</w:t>
      </w:r>
      <w:r w:rsidR="00EE3646">
        <w:rPr>
          <w:noProof/>
        </w:rPr>
        <w:fldChar w:fldCharType="end"/>
      </w:r>
      <w:r>
        <w:t xml:space="preserve">: </w:t>
      </w:r>
      <w:r>
        <w:rPr>
          <w:b w:val="0"/>
        </w:rPr>
        <w:t>Liga vozíčkářů</w:t>
      </w:r>
      <w:bookmarkEnd w:id="54"/>
    </w:p>
    <w:tbl>
      <w:tblPr>
        <w:tblStyle w:val="Stednmka1zvraznn22"/>
        <w:tblW w:w="0" w:type="auto"/>
        <w:tblLook w:val="04A0" w:firstRow="1" w:lastRow="0" w:firstColumn="1" w:lastColumn="0" w:noHBand="0" w:noVBand="1"/>
      </w:tblPr>
      <w:tblGrid>
        <w:gridCol w:w="2376"/>
        <w:gridCol w:w="6836"/>
      </w:tblGrid>
      <w:tr w:rsidR="00565EDB" w:rsidRPr="00565EDB" w:rsidTr="0056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Název</w:t>
            </w:r>
          </w:p>
        </w:tc>
        <w:tc>
          <w:tcPr>
            <w:tcW w:w="6836" w:type="dxa"/>
          </w:tcPr>
          <w:p w:rsidR="00565EDB" w:rsidRPr="00565EDB" w:rsidRDefault="00565EDB" w:rsidP="00565EDB">
            <w:pPr>
              <w:spacing w:before="0"/>
              <w:jc w:val="center"/>
              <w:cnfStyle w:val="100000000000" w:firstRow="1" w:lastRow="0" w:firstColumn="0" w:lastColumn="0" w:oddVBand="0" w:evenVBand="0" w:oddHBand="0" w:evenHBand="0" w:firstRowFirstColumn="0" w:firstRowLastColumn="0" w:lastRowFirstColumn="0" w:lastRowLastColumn="0"/>
              <w:rPr>
                <w:rFonts w:cs="Arial"/>
                <w:sz w:val="22"/>
              </w:rPr>
            </w:pPr>
            <w:r w:rsidRPr="00DD261D">
              <w:rPr>
                <w:rFonts w:cs="Arial"/>
              </w:rPr>
              <w:t>Liga vozíčkářů</w:t>
            </w:r>
          </w:p>
        </w:tc>
      </w:tr>
      <w:tr w:rsidR="00565EDB" w:rsidRPr="00565EDB" w:rsidTr="003241BC">
        <w:trPr>
          <w:cnfStyle w:val="000000100000" w:firstRow="0" w:lastRow="0" w:firstColumn="0" w:lastColumn="0" w:oddVBand="0" w:evenVBand="0" w:oddHBand="1" w:evenHBand="0" w:firstRowFirstColumn="0" w:firstRowLastColumn="0" w:lastRowFirstColumn="0" w:lastRowLastColumn="0"/>
          <w:trHeight w:val="2681"/>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Adresa</w:t>
            </w:r>
          </w:p>
        </w:tc>
        <w:tc>
          <w:tcPr>
            <w:tcW w:w="6836"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0"/>
              </w:rPr>
            </w:pPr>
            <w:r w:rsidRPr="00565EDB">
              <w:rPr>
                <w:rFonts w:cs="Arial"/>
                <w:sz w:val="20"/>
              </w:rPr>
              <w:t>sídlo poskytovatele:</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Bzenecká 23</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628 00 Brno</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0"/>
              </w:rPr>
            </w:pPr>
            <w:r w:rsidRPr="00565EDB">
              <w:rPr>
                <w:rFonts w:cs="Arial"/>
                <w:sz w:val="20"/>
              </w:rPr>
              <w:t xml:space="preserve">místo poskytování: </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K Novému nádraží 1229/2</w:t>
            </w:r>
          </w:p>
          <w:p w:rsidR="00565EDB" w:rsidRPr="00565EDB" w:rsidRDefault="00565EDB" w:rsidP="00565EDB">
            <w:pPr>
              <w:tabs>
                <w:tab w:val="left" w:pos="1924"/>
              </w:tabs>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594 01 Velké Meziříčí</w:t>
            </w:r>
          </w:p>
          <w:p w:rsidR="00565EDB" w:rsidRPr="00565EDB" w:rsidRDefault="00565EDB" w:rsidP="00565EDB">
            <w:pPr>
              <w:tabs>
                <w:tab w:val="left" w:pos="1924"/>
              </w:tabs>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(od 1. 11. 2013 bude pobočka přemístěna na adresu: </w:t>
            </w:r>
          </w:p>
          <w:p w:rsidR="00565EDB" w:rsidRPr="00565EDB" w:rsidRDefault="00565EDB" w:rsidP="00565EDB">
            <w:pPr>
              <w:tabs>
                <w:tab w:val="left" w:pos="1924"/>
              </w:tabs>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Dům zdraví</w:t>
            </w:r>
          </w:p>
          <w:p w:rsidR="00565EDB" w:rsidRPr="00565EDB" w:rsidRDefault="00565EDB" w:rsidP="00565EDB">
            <w:pPr>
              <w:tabs>
                <w:tab w:val="left" w:pos="1924"/>
              </w:tabs>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Poříčí 11</w:t>
            </w:r>
          </w:p>
          <w:p w:rsidR="00565EDB" w:rsidRPr="00565EDB" w:rsidRDefault="00565EDB" w:rsidP="00565EDB">
            <w:pPr>
              <w:tabs>
                <w:tab w:val="left" w:pos="1924"/>
              </w:tabs>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594 01 Velké Meziříčí)</w:t>
            </w:r>
          </w:p>
        </w:tc>
      </w:tr>
      <w:tr w:rsidR="00565EDB" w:rsidRPr="00565EDB" w:rsidTr="003241BC">
        <w:trPr>
          <w:trHeight w:val="34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Kontakt</w:t>
            </w:r>
          </w:p>
        </w:tc>
        <w:tc>
          <w:tcPr>
            <w:tcW w:w="6836"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Mgr. Bc. Michaela Beranová – konzultantka projektu „Směrem k práci“, 725 104 848, </w:t>
            </w:r>
            <w:hyperlink r:id="rId44" w:history="1">
              <w:r w:rsidRPr="00565EDB">
                <w:rPr>
                  <w:rFonts w:cs="Arial"/>
                  <w:color w:val="0000FF" w:themeColor="hyperlink"/>
                  <w:sz w:val="22"/>
                  <w:u w:val="single"/>
                </w:rPr>
                <w:t>michaela.beranova@ligavozic.cz</w:t>
              </w:r>
            </w:hyperlink>
            <w:r w:rsidRPr="00565EDB">
              <w:rPr>
                <w:rFonts w:cs="Arial"/>
                <w:sz w:val="22"/>
              </w:rPr>
              <w:t xml:space="preserve">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Druh sociální služby</w:t>
            </w:r>
          </w:p>
        </w:tc>
        <w:tc>
          <w:tcPr>
            <w:tcW w:w="6836"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Sociální rehabilitace</w:t>
            </w:r>
          </w:p>
        </w:tc>
      </w:tr>
      <w:tr w:rsidR="00565EDB" w:rsidRPr="00565EDB" w:rsidTr="003241BC">
        <w:trPr>
          <w:trHeight w:val="266"/>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Forma poskytování sociální služby</w:t>
            </w:r>
          </w:p>
        </w:tc>
        <w:tc>
          <w:tcPr>
            <w:tcW w:w="6836"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Ambulantní.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Cílová skupina</w:t>
            </w:r>
          </w:p>
        </w:tc>
        <w:tc>
          <w:tcPr>
            <w:tcW w:w="6836"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Osoby se zdravotním postižením (tělesné, mentální postižení, duševní onemocnění a civilizační nemoci)</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Věková struktura</w:t>
            </w:r>
          </w:p>
        </w:tc>
        <w:tc>
          <w:tcPr>
            <w:tcW w:w="6836"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16-65 let</w:t>
            </w:r>
          </w:p>
        </w:tc>
      </w:tr>
      <w:tr w:rsidR="00565EDB" w:rsidRPr="00565EDB" w:rsidTr="003241BC">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Počet osob na území města Velké Meziříčí (stav k 31. 7. 2013)</w:t>
            </w:r>
          </w:p>
        </w:tc>
        <w:tc>
          <w:tcPr>
            <w:tcW w:w="6836"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22</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Výhled do budoucna ve vztahu k poskytování sociálních služeb na území města Velké Meziříčí</w:t>
            </w:r>
          </w:p>
        </w:tc>
        <w:tc>
          <w:tcPr>
            <w:tcW w:w="6836"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Jedná se o realizaci projektu „Směrem k práci“, zaměřeného na pracovní integraci osob se zdravotním postižením.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V budoucnu půjde o registrovanou sociální službu </w:t>
            </w:r>
            <w:r w:rsidRPr="00565EDB">
              <w:rPr>
                <w:rFonts w:cs="Arial"/>
                <w:b/>
                <w:sz w:val="22"/>
              </w:rPr>
              <w:t>sociální rehabilitace</w:t>
            </w:r>
            <w:r w:rsidRPr="00565EDB">
              <w:rPr>
                <w:rFonts w:cs="Arial"/>
                <w:sz w:val="22"/>
              </w:rPr>
              <w:t xml:space="preserve"> poskytovanou ve Velkém Meziříčí.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2014 – financování prostřednictvím ESF OP LZZ</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2015 – financování prostřednictvím ESF OP LZZ + dotace města, kraje, MPSV</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2016 – dotace města, kraje, MPSV</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Projekt „Směrem k práci“ zahájil činnost 1. 3. 2013 a předpokládané datum ukončení realizace projektu je 28. 2. 2015. Poté budou služby pro zájemce zajištěny registrovanou službou sociální rehabilitace.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Provozní doba</w:t>
            </w:r>
          </w:p>
        </w:tc>
        <w:tc>
          <w:tcPr>
            <w:tcW w:w="6836"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Po – Pá </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7 - 15:30 (dle individuální domluvy, před osobní návštěvou je třeba domluva po telefonu nebo emailem s pracovníkem pobočky)</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Ostatní (např. požadavek na dotační prostředky v roce 2014 od Velkého Meziříčí)</w:t>
            </w:r>
          </w:p>
        </w:tc>
        <w:tc>
          <w:tcPr>
            <w:tcW w:w="6836"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Od města Velké Meziříčí bychom uvítali: </w:t>
            </w:r>
          </w:p>
          <w:p w:rsidR="00565EDB" w:rsidRPr="00565EDB" w:rsidRDefault="00565EDB" w:rsidP="000D1D74">
            <w:pPr>
              <w:numPr>
                <w:ilvl w:val="0"/>
                <w:numId w:val="18"/>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2015 - 50.000,- Kč</w:t>
            </w:r>
          </w:p>
          <w:p w:rsidR="00565EDB" w:rsidRPr="00565EDB" w:rsidRDefault="00565EDB" w:rsidP="000D1D74">
            <w:pPr>
              <w:numPr>
                <w:ilvl w:val="0"/>
                <w:numId w:val="18"/>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2016 - 75.000,- Kč</w:t>
            </w:r>
          </w:p>
          <w:p w:rsidR="00565EDB" w:rsidRPr="00565EDB" w:rsidRDefault="00565EDB" w:rsidP="00565EDB">
            <w:pPr>
              <w:spacing w:before="0"/>
              <w:ind w:left="72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(částky jsou orientační v závislosti na skutečné výši mzdových nákladů, nájmu apod.). </w:t>
            </w:r>
          </w:p>
        </w:tc>
      </w:tr>
    </w:tbl>
    <w:p w:rsidR="000D1D74" w:rsidRDefault="000D1D74">
      <w:pPr>
        <w:spacing w:before="0" w:after="200" w:line="276" w:lineRule="auto"/>
        <w:jc w:val="left"/>
        <w:rPr>
          <w:rFonts w:eastAsiaTheme="majorEastAsia" w:cstheme="majorBidi"/>
          <w:b/>
          <w:bCs/>
          <w:sz w:val="28"/>
        </w:rPr>
      </w:pPr>
    </w:p>
    <w:p w:rsidR="009D1A00" w:rsidRPr="00DD261D" w:rsidRDefault="009D1A00" w:rsidP="00996CAC">
      <w:pPr>
        <w:pStyle w:val="Nadpis4"/>
      </w:pPr>
      <w:bookmarkStart w:id="55" w:name="_Toc367278157"/>
      <w:r w:rsidRPr="00DD261D">
        <w:t>Středisko rané péče Třebíč</w:t>
      </w:r>
      <w:bookmarkEnd w:id="55"/>
    </w:p>
    <w:p w:rsidR="004714A8" w:rsidRDefault="004714A8" w:rsidP="004714A8">
      <w:r>
        <w:t>Posláním Střediska rané péče Třebíč je poskytovat komplex služeb orientovaných na podporu celé rodiny a podporu vývoje dítěte raného věku s postižením či ohrožením vývoje na Třebíčsku, Jihlavsku, Znojemsku a v přilehlých regionech. Poradce rané péče dojíždí pravidelně přímo do rodinného prostředí na konzultační návštěvy, provází rodinu v těžké životní situaci. Poskytuje potřebné informace, služby a terapie tak, aby se mohli rodiče, zákonní zástupci, ko</w:t>
      </w:r>
      <w:r w:rsidR="00B47555">
        <w:t>mpetentně a zodpovědně starat a </w:t>
      </w:r>
      <w:r>
        <w:t xml:space="preserve">vychovávat vlastní děti a ty, aby mohly vyrůstat v rodině. </w:t>
      </w:r>
      <w:r w:rsidR="00E00F58">
        <w:t xml:space="preserve">Poradce rodině naslouchá, poskytuje rodičům dítěte základní informace ohledně speciálních potřeb dětí, zapůjčuje a doporučuje literaturu, pomůcky. Předává rodině kontakty na další návazná zařízení a odborníky. Poradce s rodiči </w:t>
      </w:r>
      <w:r w:rsidR="00FF620F">
        <w:t>vypracovává individuální p</w:t>
      </w:r>
      <w:r w:rsidR="00E00F58">
        <w:t>lán dle jejich aktuálních potřeb, který stanovuje priority rodiny</w:t>
      </w:r>
      <w:r w:rsidR="00FF620F">
        <w:t xml:space="preserve"> a témata konzultačních návštěv. </w:t>
      </w:r>
    </w:p>
    <w:p w:rsidR="003241BC" w:rsidRPr="003241BC" w:rsidRDefault="003241BC" w:rsidP="003241BC">
      <w:pPr>
        <w:pStyle w:val="Titulek"/>
        <w:keepNext/>
        <w:rPr>
          <w:b w:val="0"/>
        </w:rPr>
      </w:pPr>
      <w:bookmarkStart w:id="56" w:name="_Toc367794860"/>
      <w:r>
        <w:t xml:space="preserve">Tabulka č. </w:t>
      </w:r>
      <w:r w:rsidR="00EE3646">
        <w:fldChar w:fldCharType="begin"/>
      </w:r>
      <w:r w:rsidR="00EE3646">
        <w:instrText xml:space="preserve"> SEQ Tabulka_č. \* ARABIC </w:instrText>
      </w:r>
      <w:r w:rsidR="00EE3646">
        <w:fldChar w:fldCharType="separate"/>
      </w:r>
      <w:r w:rsidR="00594151">
        <w:rPr>
          <w:noProof/>
        </w:rPr>
        <w:t>16</w:t>
      </w:r>
      <w:r w:rsidR="00EE3646">
        <w:rPr>
          <w:noProof/>
        </w:rPr>
        <w:fldChar w:fldCharType="end"/>
      </w:r>
      <w:r>
        <w:t xml:space="preserve">: </w:t>
      </w:r>
      <w:r>
        <w:rPr>
          <w:b w:val="0"/>
        </w:rPr>
        <w:t>Středisko rané péče Třebíč</w:t>
      </w:r>
      <w:bookmarkEnd w:id="56"/>
    </w:p>
    <w:tbl>
      <w:tblPr>
        <w:tblStyle w:val="Stednmka1zvraznn41"/>
        <w:tblW w:w="0" w:type="auto"/>
        <w:tblLook w:val="04A0" w:firstRow="1" w:lastRow="0" w:firstColumn="1" w:lastColumn="0" w:noHBand="0" w:noVBand="1"/>
      </w:tblPr>
      <w:tblGrid>
        <w:gridCol w:w="2376"/>
        <w:gridCol w:w="6804"/>
      </w:tblGrid>
      <w:tr w:rsidR="00565EDB" w:rsidRPr="00565EDB" w:rsidTr="00565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Název</w:t>
            </w:r>
          </w:p>
        </w:tc>
        <w:tc>
          <w:tcPr>
            <w:tcW w:w="6804" w:type="dxa"/>
          </w:tcPr>
          <w:p w:rsidR="00565EDB" w:rsidRPr="00565EDB" w:rsidRDefault="00565EDB" w:rsidP="00565EDB">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Středisko rané péče Třebíč</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Adresa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Gen. Sochora 705</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Nové Dvory</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674 01 Třebíč</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 xml:space="preserve">Kontakt </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Mgr. Pavlína Kovářová - vedoucí, 568 851 402, 606 860 551, </w:t>
            </w:r>
            <w:hyperlink r:id="rId45" w:history="1">
              <w:r w:rsidRPr="00565EDB">
                <w:rPr>
                  <w:rFonts w:cs="Arial"/>
                  <w:color w:val="0000FF" w:themeColor="hyperlink"/>
                  <w:sz w:val="22"/>
                  <w:u w:val="single"/>
                </w:rPr>
                <w:t>ranapece.trebic@charita.cz</w:t>
              </w:r>
            </w:hyperlink>
            <w:r w:rsidRPr="00565EDB">
              <w:rPr>
                <w:rFonts w:cs="Arial"/>
                <w:sz w:val="22"/>
              </w:rPr>
              <w:t xml:space="preserve">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Druh sociální služby</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Raná péče</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Forma poskytování sociální služby</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Terénní, popř. doplněná ambulantní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Cílová skupina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Rodiny s dětmi s kombinovaným postižením</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Rodiny s dětmi s mentálním postižením</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Rodiny s dětmi s tělesným postižením</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Rodiny s dětmi s poruchami autistického spektra</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Rodiny s dětmi s ohrožením vývoje</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Věková struktura</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Děti od 0-7 let věku</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Péče zahrnuje podporu celé rodiny.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Počet osob na území města Velké Meziříčí (stav k 31. 7. 2013)</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1 rodina z Velkého Meziříčí</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5 rodin z okolí města, spádovým městem je Velké Meziříčí</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Výhled do budoucna ve vztahu k poskytování sociálních služeb na území města Velké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Středisko poskytuje služby rodinám ve městě Velké Meziříčí a okolí od svého založení v roce 2005 a v nadcházejících letech nadále plánuje v regionu působit, zajišťovat službu rané péče rodinám, které se ocitly v těžké životní situaci, a být součástí minimální sítě poskytovatelů sociálních služeb ve městě Velké Meziříčí. </w:t>
            </w:r>
          </w:p>
        </w:tc>
      </w:tr>
      <w:tr w:rsidR="00565EDB" w:rsidRPr="00565EDB" w:rsidTr="0056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Provozní doba</w:t>
            </w:r>
          </w:p>
        </w:tc>
        <w:tc>
          <w:tcPr>
            <w:tcW w:w="6804" w:type="dxa"/>
            <w:vAlign w:val="center"/>
          </w:tcPr>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Poradce rané péče dojíždí pravidelně přímo do rodinného prostředí na konzultační návštěvy, provází rodinu v těžké životní situaci. Návštěvy probíhají v přirozeném prostředí rodiny 1 - 2x měsíčně. </w:t>
            </w:r>
          </w:p>
          <w:p w:rsidR="00565EDB" w:rsidRPr="00565EDB" w:rsidRDefault="00565EDB" w:rsidP="00565EDB">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565EDB">
              <w:rPr>
                <w:rFonts w:cs="Arial"/>
                <w:sz w:val="22"/>
              </w:rPr>
              <w:t xml:space="preserve">Službu poskytujeme v pracovní dny od 7h do 17hm vždy dle konkrétní domluvy s uživateli služby. </w:t>
            </w:r>
          </w:p>
        </w:tc>
      </w:tr>
      <w:tr w:rsidR="00565EDB" w:rsidRPr="00565EDB" w:rsidTr="00565EDB">
        <w:tc>
          <w:tcPr>
            <w:cnfStyle w:val="001000000000" w:firstRow="0" w:lastRow="0" w:firstColumn="1" w:lastColumn="0" w:oddVBand="0" w:evenVBand="0" w:oddHBand="0" w:evenHBand="0" w:firstRowFirstColumn="0" w:firstRowLastColumn="0" w:lastRowFirstColumn="0" w:lastRowLastColumn="0"/>
            <w:tcW w:w="2376" w:type="dxa"/>
            <w:vAlign w:val="center"/>
          </w:tcPr>
          <w:p w:rsidR="00565EDB" w:rsidRPr="00565EDB" w:rsidRDefault="00565EDB" w:rsidP="00565EDB">
            <w:pPr>
              <w:spacing w:before="0"/>
              <w:jc w:val="center"/>
              <w:rPr>
                <w:rFonts w:cs="Arial"/>
                <w:sz w:val="20"/>
              </w:rPr>
            </w:pPr>
            <w:r w:rsidRPr="00565EDB">
              <w:rPr>
                <w:rFonts w:cs="Arial"/>
                <w:sz w:val="20"/>
              </w:rPr>
              <w:t>Ostatní (např. požadavek na dotační prostředky v roce 2014 od Velkého Meziříčí)</w:t>
            </w:r>
          </w:p>
        </w:tc>
        <w:tc>
          <w:tcPr>
            <w:tcW w:w="6804" w:type="dxa"/>
            <w:vAlign w:val="center"/>
          </w:tcPr>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Služby jsou rodinám poskytovány zdarma. Náklady na jednu rodinu za jeden kalendářní rok činí 40.000,- Kč. V ceně jsou zahrnuty veškeré služby rané péče, které rodiny využívají - konzultace v domácím prostředí, cestovné náklady, půjčovna rehabilitačních a kompenzačních pomůcek, odborné literatury, poradenství, provázení rodin, setkávání rodin, víkendové kurzy pro rodiny s dětmi, plavání rodičů s dětmi apod.  </w:t>
            </w:r>
          </w:p>
          <w:p w:rsidR="00565EDB" w:rsidRPr="00565EDB" w:rsidRDefault="00565EDB" w:rsidP="00565EDB">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565EDB">
              <w:rPr>
                <w:rFonts w:cs="Arial"/>
                <w:sz w:val="22"/>
              </w:rPr>
              <w:t xml:space="preserve">Finanční prostředky získané od města Velké Meziříčí budou použity na náklady výše uvedené. </w:t>
            </w:r>
          </w:p>
        </w:tc>
      </w:tr>
    </w:tbl>
    <w:p w:rsidR="009D1A00" w:rsidRPr="00DD261D" w:rsidRDefault="009D1A00" w:rsidP="009562C4">
      <w:pPr>
        <w:pStyle w:val="Nadpis4"/>
        <w:spacing w:before="0"/>
      </w:pPr>
      <w:bookmarkStart w:id="57" w:name="_Toc367278158"/>
      <w:r w:rsidRPr="00DD261D">
        <w:t>K - centrum Noe Třebíč</w:t>
      </w:r>
      <w:bookmarkEnd w:id="57"/>
    </w:p>
    <w:p w:rsidR="00562A28" w:rsidRDefault="00562A28" w:rsidP="009562C4">
      <w:pPr>
        <w:spacing w:before="0"/>
      </w:pPr>
      <w:r>
        <w:t>Území kraje Vysočina je v rámci terénních prací s uživateli drog rozděleno na tři oblasti tak, aby byla rovnoměrně pokryta celá oblast (KC Jihlava, KC Žďár na</w:t>
      </w:r>
      <w:r w:rsidR="00F0737E">
        <w:t>d</w:t>
      </w:r>
      <w:r>
        <w:t xml:space="preserve"> Sázavou, KC Třebíč). </w:t>
      </w:r>
      <w:r w:rsidRPr="00562A28">
        <w:t>Za svoji desetiletou činnost ve Velkém Meziříčí si získalo kontaktní centrum důvěru mnoha uživatelů. Proto, i když Velké Meziříčí spadá do správní oblasti Žďáru nad Sázavou, byla s krajským koordinátorem vytvořena dohoda o pokrytí Velkého Meziříčí terénními programy třebíčského kontaktního centra.</w:t>
      </w:r>
      <w:r>
        <w:t xml:space="preserve"> Cílem činnosti K - centra Noe Třebíč je minimalizace sociálních a zdravotních následků rizikového užívání drog, jak u samotných uživatelů drog, tak u jejich partnerů, rodin a další veřejnosti. </w:t>
      </w:r>
    </w:p>
    <w:p w:rsidR="000D1D74" w:rsidRPr="00562A28" w:rsidRDefault="000D1D74" w:rsidP="00562A28"/>
    <w:p w:rsidR="009562C4" w:rsidRPr="009562C4" w:rsidRDefault="009562C4" w:rsidP="009562C4">
      <w:pPr>
        <w:pStyle w:val="Titulek"/>
        <w:keepNext/>
        <w:rPr>
          <w:b w:val="0"/>
        </w:rPr>
      </w:pPr>
      <w:bookmarkStart w:id="58" w:name="_Toc367794861"/>
      <w:r>
        <w:t xml:space="preserve">Tabulka č. </w:t>
      </w:r>
      <w:r w:rsidR="00EE3646">
        <w:fldChar w:fldCharType="begin"/>
      </w:r>
      <w:r w:rsidR="00EE3646">
        <w:instrText xml:space="preserve"> SEQ Tabulka_č</w:instrText>
      </w:r>
      <w:r w:rsidR="00EE3646">
        <w:instrText xml:space="preserve">. \* ARABIC </w:instrText>
      </w:r>
      <w:r w:rsidR="00EE3646">
        <w:fldChar w:fldCharType="separate"/>
      </w:r>
      <w:r w:rsidR="00594151">
        <w:rPr>
          <w:noProof/>
        </w:rPr>
        <w:t>17</w:t>
      </w:r>
      <w:r w:rsidR="00EE3646">
        <w:rPr>
          <w:noProof/>
        </w:rPr>
        <w:fldChar w:fldCharType="end"/>
      </w:r>
      <w:r>
        <w:t xml:space="preserve">: </w:t>
      </w:r>
      <w:r>
        <w:rPr>
          <w:b w:val="0"/>
        </w:rPr>
        <w:t>K - centrum Noe Třebíč</w:t>
      </w:r>
      <w:bookmarkEnd w:id="58"/>
    </w:p>
    <w:tbl>
      <w:tblPr>
        <w:tblStyle w:val="Stednmka1zvraznn32"/>
        <w:tblW w:w="0" w:type="auto"/>
        <w:tblLook w:val="04A0" w:firstRow="1" w:lastRow="0" w:firstColumn="1" w:lastColumn="0" w:noHBand="0" w:noVBand="1"/>
      </w:tblPr>
      <w:tblGrid>
        <w:gridCol w:w="2376"/>
        <w:gridCol w:w="6804"/>
      </w:tblGrid>
      <w:tr w:rsidR="000D1D74" w:rsidRPr="000D1D74" w:rsidTr="00AE1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Název</w:t>
            </w:r>
          </w:p>
        </w:tc>
        <w:tc>
          <w:tcPr>
            <w:tcW w:w="6804" w:type="dxa"/>
          </w:tcPr>
          <w:p w:rsidR="000D1D74" w:rsidRPr="000D1D74" w:rsidRDefault="000D1D74" w:rsidP="000D1D74">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K – centrum Noe Třebíč</w:t>
            </w:r>
          </w:p>
        </w:tc>
      </w:tr>
      <w:tr w:rsidR="000D1D74" w:rsidRPr="000D1D74" w:rsidTr="009562C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Adresa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Hybešova 10</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674 01 Třebíč</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Kontakt</w:t>
            </w:r>
          </w:p>
        </w:tc>
        <w:tc>
          <w:tcPr>
            <w:tcW w:w="6804" w:type="dxa"/>
            <w:vAlign w:val="center"/>
          </w:tcPr>
          <w:p w:rsidR="000D1D74" w:rsidRPr="000D1D74" w:rsidRDefault="000D1D74" w:rsidP="000D1D74">
            <w:pPr>
              <w:numPr>
                <w:ilvl w:val="0"/>
                <w:numId w:val="20"/>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Ing. Mgr. Ivo Vítek - vedoucí, 739 389 230, 568 840 688, </w:t>
            </w:r>
            <w:hyperlink r:id="rId46" w:history="1">
              <w:r w:rsidRPr="000D1D74">
                <w:rPr>
                  <w:rFonts w:cs="Arial"/>
                  <w:color w:val="0000FF" w:themeColor="hyperlink"/>
                  <w:sz w:val="22"/>
                  <w:u w:val="single"/>
                </w:rPr>
                <w:t>ivo.vitek@charita.cz</w:t>
              </w:r>
            </w:hyperlink>
            <w:r w:rsidRPr="000D1D74">
              <w:rPr>
                <w:rFonts w:cs="Arial"/>
                <w:sz w:val="22"/>
              </w:rPr>
              <w:t xml:space="preserve">, </w:t>
            </w:r>
            <w:hyperlink r:id="rId47" w:history="1">
              <w:r w:rsidRPr="000D1D74">
                <w:rPr>
                  <w:rFonts w:cs="Arial"/>
                  <w:color w:val="0000FF" w:themeColor="hyperlink"/>
                  <w:sz w:val="22"/>
                  <w:u w:val="single"/>
                </w:rPr>
                <w:t>noe.trebic@charita.cz</w:t>
              </w:r>
            </w:hyperlink>
          </w:p>
          <w:p w:rsidR="000D1D74" w:rsidRPr="000D1D74" w:rsidRDefault="000D1D74" w:rsidP="000D1D74">
            <w:pPr>
              <w:numPr>
                <w:ilvl w:val="0"/>
                <w:numId w:val="20"/>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Zdeňka Čiháková - pracovník v sociálních službách, 733 741 188, </w:t>
            </w:r>
            <w:hyperlink r:id="rId48" w:history="1">
              <w:r w:rsidRPr="000D1D74">
                <w:rPr>
                  <w:rFonts w:cs="Arial"/>
                  <w:color w:val="0000FF" w:themeColor="hyperlink"/>
                  <w:sz w:val="22"/>
                  <w:u w:val="single"/>
                </w:rPr>
                <w:t>noe.trebic@charita.cz</w:t>
              </w:r>
            </w:hyperlink>
            <w:r w:rsidRPr="000D1D74">
              <w:rPr>
                <w:rFonts w:cs="Arial"/>
                <w:sz w:val="22"/>
              </w:rPr>
              <w:t xml:space="preserve">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Druh sociální služby</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Kontaktní centrum</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Forma poskytování sociální služby</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Terénní</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Cílová skupina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Primární cílová skupina</w:t>
            </w:r>
          </w:p>
          <w:p w:rsidR="000D1D74" w:rsidRPr="000D1D74" w:rsidRDefault="000D1D74" w:rsidP="000D1D74">
            <w:pPr>
              <w:numPr>
                <w:ilvl w:val="0"/>
                <w:numId w:val="19"/>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0D1D74">
              <w:rPr>
                <w:rFonts w:cs="Arial"/>
                <w:sz w:val="20"/>
              </w:rPr>
              <w:t>mládež ohrožená drogami</w:t>
            </w:r>
          </w:p>
          <w:p w:rsidR="000D1D74" w:rsidRPr="000D1D74" w:rsidRDefault="000D1D74" w:rsidP="000D1D74">
            <w:pPr>
              <w:numPr>
                <w:ilvl w:val="0"/>
                <w:numId w:val="19"/>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0D1D74">
              <w:rPr>
                <w:rFonts w:cs="Arial"/>
                <w:sz w:val="20"/>
              </w:rPr>
              <w:t>experimentátoři</w:t>
            </w:r>
          </w:p>
          <w:p w:rsidR="000D1D74" w:rsidRPr="000D1D74" w:rsidRDefault="000D1D74" w:rsidP="000D1D74">
            <w:pPr>
              <w:numPr>
                <w:ilvl w:val="0"/>
                <w:numId w:val="19"/>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0D1D74">
              <w:rPr>
                <w:rFonts w:cs="Arial"/>
                <w:sz w:val="20"/>
              </w:rPr>
              <w:t>mladiství uživatelé drog</w:t>
            </w:r>
          </w:p>
          <w:p w:rsidR="000D1D74" w:rsidRPr="000D1D74" w:rsidRDefault="000D1D74" w:rsidP="000D1D74">
            <w:pPr>
              <w:numPr>
                <w:ilvl w:val="0"/>
                <w:numId w:val="19"/>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0D1D74">
              <w:rPr>
                <w:rFonts w:cs="Arial"/>
                <w:sz w:val="20"/>
              </w:rPr>
              <w:t>uživatelé drog na taneční scéně</w:t>
            </w:r>
          </w:p>
          <w:p w:rsidR="000D1D74" w:rsidRPr="000D1D74" w:rsidRDefault="000D1D74" w:rsidP="000D1D74">
            <w:pPr>
              <w:numPr>
                <w:ilvl w:val="0"/>
                <w:numId w:val="19"/>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0D1D74">
              <w:rPr>
                <w:rFonts w:cs="Arial"/>
                <w:sz w:val="20"/>
              </w:rPr>
              <w:t>rekreační uživatelé drog</w:t>
            </w:r>
          </w:p>
          <w:p w:rsidR="000D1D74" w:rsidRPr="000D1D74" w:rsidRDefault="000D1D74" w:rsidP="000D1D74">
            <w:pPr>
              <w:numPr>
                <w:ilvl w:val="0"/>
                <w:numId w:val="19"/>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0D1D74">
              <w:rPr>
                <w:rFonts w:cs="Arial"/>
                <w:sz w:val="20"/>
              </w:rPr>
              <w:t>problémoví a rizikoví uživatelé drog</w:t>
            </w:r>
          </w:p>
          <w:p w:rsidR="000D1D74" w:rsidRPr="000D1D74" w:rsidRDefault="000D1D74" w:rsidP="000D1D74">
            <w:pPr>
              <w:numPr>
                <w:ilvl w:val="0"/>
                <w:numId w:val="19"/>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0D1D74">
              <w:rPr>
                <w:rFonts w:cs="Arial"/>
                <w:sz w:val="20"/>
              </w:rPr>
              <w:t>uživatelé v sociálním a zdravotním propadu</w:t>
            </w:r>
          </w:p>
          <w:p w:rsidR="000D1D74" w:rsidRPr="000D1D74" w:rsidRDefault="000D1D74" w:rsidP="000D1D74">
            <w:pPr>
              <w:numPr>
                <w:ilvl w:val="0"/>
                <w:numId w:val="19"/>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0D1D74">
              <w:rPr>
                <w:rFonts w:cs="Arial"/>
                <w:sz w:val="20"/>
              </w:rPr>
              <w:t>uživatelé drog existující mimo síť služeb</w:t>
            </w:r>
          </w:p>
          <w:p w:rsidR="000D1D74" w:rsidRPr="000D1D74" w:rsidRDefault="000D1D74" w:rsidP="000D1D74">
            <w:pPr>
              <w:numPr>
                <w:ilvl w:val="0"/>
                <w:numId w:val="19"/>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0D1D74">
              <w:rPr>
                <w:rFonts w:cs="Arial"/>
                <w:sz w:val="20"/>
              </w:rPr>
              <w:t>závislé ženy, které jsou předmětem jakékoliv diskriminace</w:t>
            </w:r>
          </w:p>
          <w:p w:rsidR="000D1D74" w:rsidRPr="000D1D74" w:rsidRDefault="000D1D74" w:rsidP="000D1D74">
            <w:pPr>
              <w:numPr>
                <w:ilvl w:val="0"/>
                <w:numId w:val="19"/>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0"/>
              </w:rPr>
            </w:pPr>
            <w:r w:rsidRPr="000D1D74">
              <w:rPr>
                <w:rFonts w:cs="Arial"/>
                <w:sz w:val="20"/>
              </w:rPr>
              <w:t>abstinující uživatelé drog, kteří se začleňují do běžného občanského života</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Sekundární cílová skupina</w:t>
            </w:r>
          </w:p>
          <w:p w:rsidR="000D1D74" w:rsidRPr="000D1D74" w:rsidRDefault="000D1D74" w:rsidP="000D1D74">
            <w:pPr>
              <w:numPr>
                <w:ilvl w:val="0"/>
                <w:numId w:val="12"/>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0"/>
              </w:rPr>
              <w:t>neuživatelé drog (rodina a partneři uživatelů, odborná i laická veřejnost)</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Věková struktura</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Od 15 let</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Počet osob na území města Velké Meziříčí (stav k 31. 7. 2013)</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17</w:t>
            </w:r>
          </w:p>
        </w:tc>
      </w:tr>
      <w:tr w:rsidR="000D1D74" w:rsidRPr="000D1D74" w:rsidTr="009562C4">
        <w:trPr>
          <w:trHeight w:val="1192"/>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Výhled do budoucna ve vztahu k poskytování sociálních služeb na území města Velké Meziříčí</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Do budoucna usiluje kontaktní centrum o zařazení do minimální sítě poskytovatelů sociálních služeb tak, aby dosáhlo na financování této sociální služby, kterou doposud vykonávalo bez finančního příspěvku od města Velké Meziříčí</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Provozní doba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 xml:space="preserve">Terénní pracovník působí ve Velkém Meziříčí každé úterý od 13 do 15h. </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Ostatní (např. požadavek na dotační prostředky v roce 2014 od Velkého Meziříčí)</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Částka odpovídající ročním nákladům na provoz služby činí 40.000,- Kč. </w:t>
            </w:r>
          </w:p>
        </w:tc>
      </w:tr>
    </w:tbl>
    <w:p w:rsidR="009D1A00" w:rsidRPr="00DD261D" w:rsidRDefault="009D1A00" w:rsidP="00996CAC">
      <w:pPr>
        <w:pStyle w:val="Nadpis4"/>
      </w:pPr>
      <w:bookmarkStart w:id="59" w:name="_Toc367278159"/>
      <w:r w:rsidRPr="00DD261D">
        <w:t>ZO Neslyšících a nedoslýchavých Velké Meziříčí</w:t>
      </w:r>
      <w:bookmarkEnd w:id="59"/>
    </w:p>
    <w:p w:rsidR="000D1D74" w:rsidRPr="000D1D74" w:rsidRDefault="000D1D74" w:rsidP="000D1D74"/>
    <w:p w:rsidR="009562C4" w:rsidRPr="009562C4" w:rsidRDefault="009562C4" w:rsidP="009562C4">
      <w:pPr>
        <w:pStyle w:val="Titulek"/>
        <w:keepNext/>
        <w:rPr>
          <w:b w:val="0"/>
        </w:rPr>
      </w:pPr>
      <w:bookmarkStart w:id="60" w:name="_Toc367794862"/>
      <w:r>
        <w:t xml:space="preserve">Tabulka č. </w:t>
      </w:r>
      <w:r w:rsidR="00EE3646">
        <w:fldChar w:fldCharType="begin"/>
      </w:r>
      <w:r w:rsidR="00EE3646">
        <w:instrText xml:space="preserve"> SEQ Tabulka_č. \* ARABIC </w:instrText>
      </w:r>
      <w:r w:rsidR="00EE3646">
        <w:fldChar w:fldCharType="separate"/>
      </w:r>
      <w:r w:rsidR="00594151">
        <w:rPr>
          <w:noProof/>
        </w:rPr>
        <w:t>18</w:t>
      </w:r>
      <w:r w:rsidR="00EE3646">
        <w:rPr>
          <w:noProof/>
        </w:rPr>
        <w:fldChar w:fldCharType="end"/>
      </w:r>
      <w:r>
        <w:t xml:space="preserve">: </w:t>
      </w:r>
      <w:r>
        <w:rPr>
          <w:b w:val="0"/>
        </w:rPr>
        <w:t>ZO Neslyšících a nedoslýchavých Velké Meziříčí</w:t>
      </w:r>
      <w:bookmarkEnd w:id="60"/>
    </w:p>
    <w:tbl>
      <w:tblPr>
        <w:tblStyle w:val="Stednmka1zvraznn5"/>
        <w:tblW w:w="0" w:type="auto"/>
        <w:tblLook w:val="04A0" w:firstRow="1" w:lastRow="0" w:firstColumn="1" w:lastColumn="0" w:noHBand="0" w:noVBand="1"/>
      </w:tblPr>
      <w:tblGrid>
        <w:gridCol w:w="2376"/>
        <w:gridCol w:w="6804"/>
      </w:tblGrid>
      <w:tr w:rsidR="000D1D74" w:rsidRPr="000D1D74" w:rsidTr="00AE1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Název</w:t>
            </w:r>
          </w:p>
        </w:tc>
        <w:tc>
          <w:tcPr>
            <w:tcW w:w="6804" w:type="dxa"/>
          </w:tcPr>
          <w:p w:rsidR="000D1D74" w:rsidRPr="000D1D74" w:rsidRDefault="000D1D74" w:rsidP="000D1D74">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ZO Neslyšících a nedoslýchavých Velké Meziříčí</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Adresa</w:t>
            </w:r>
          </w:p>
        </w:tc>
        <w:tc>
          <w:tcPr>
            <w:tcW w:w="6804" w:type="dxa"/>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Komenského 5</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594 01 Velké Meziříčí</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(KLUB Důchodců)</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Kontakt</w:t>
            </w:r>
          </w:p>
        </w:tc>
        <w:tc>
          <w:tcPr>
            <w:tcW w:w="6804" w:type="dxa"/>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Druh sociální služby</w:t>
            </w:r>
          </w:p>
        </w:tc>
        <w:tc>
          <w:tcPr>
            <w:tcW w:w="6804" w:type="dxa"/>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Pomoc sluchově postiženým osobám</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Forma poskytování sociální služby</w:t>
            </w:r>
          </w:p>
        </w:tc>
        <w:tc>
          <w:tcPr>
            <w:tcW w:w="6804" w:type="dxa"/>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Cílová skupina</w:t>
            </w:r>
          </w:p>
        </w:tc>
        <w:tc>
          <w:tcPr>
            <w:tcW w:w="6804" w:type="dxa"/>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Osoby se sluchovým postižením (neslyšící a nedoslýchaví)</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Věková struktura</w:t>
            </w:r>
          </w:p>
        </w:tc>
        <w:tc>
          <w:tcPr>
            <w:tcW w:w="6804" w:type="dxa"/>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17-89 let</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Počet osob na území města Velké Meziříčí (stav k 31. 7. 2013)</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30</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Výhled do budoucna ve vztahu k poskytování sociálních služeb na území města Velké Meziříčí</w:t>
            </w:r>
          </w:p>
        </w:tc>
        <w:tc>
          <w:tcPr>
            <w:tcW w:w="6804" w:type="dxa"/>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Rozšíření členské základny, kulturní akce pro danou skupinu, předváděcí akce s kompenzačními pomůckami, instalace indukčních smyček na úřadech a státních institucích (zejména pošta – indukční smyčku používají moderní sluchadla a usnadňují komunikaci.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Provozní doba</w:t>
            </w:r>
          </w:p>
        </w:tc>
        <w:tc>
          <w:tcPr>
            <w:tcW w:w="6804" w:type="dxa"/>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Ostatní (např. požadavek na dotační prostředky v roce 2014 od Velkého Meziříčí)</w:t>
            </w:r>
          </w:p>
        </w:tc>
        <w:tc>
          <w:tcPr>
            <w:tcW w:w="6804" w:type="dxa"/>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p>
        </w:tc>
      </w:tr>
    </w:tbl>
    <w:p w:rsidR="002B6901" w:rsidRPr="002B6901" w:rsidRDefault="002B6901" w:rsidP="002B6901"/>
    <w:p w:rsidR="00D22F26" w:rsidRDefault="00D22F26">
      <w:pPr>
        <w:spacing w:before="0" w:after="200" w:line="276" w:lineRule="auto"/>
        <w:jc w:val="left"/>
        <w:rPr>
          <w:rFonts w:eastAsiaTheme="majorEastAsia" w:cstheme="majorBidi"/>
          <w:b/>
          <w:bCs/>
        </w:rPr>
      </w:pPr>
      <w:r>
        <w:br w:type="page"/>
      </w:r>
    </w:p>
    <w:p w:rsidR="009D1A00" w:rsidRPr="00DD261D" w:rsidRDefault="009D1A00" w:rsidP="00996CAC">
      <w:pPr>
        <w:pStyle w:val="Nadpis4"/>
      </w:pPr>
      <w:bookmarkStart w:id="61" w:name="_Toc367278160"/>
      <w:r w:rsidRPr="00DD261D">
        <w:t>Wellmez - nízkoprahové zařízení pro děti a mládež</w:t>
      </w:r>
      <w:bookmarkEnd w:id="61"/>
    </w:p>
    <w:p w:rsidR="000D1D74" w:rsidRDefault="00456D33" w:rsidP="000D1D74">
      <w:r w:rsidRPr="00456D33">
        <w:t>Posláním nízkoprahového zařízení pro děti a mláde</w:t>
      </w:r>
      <w:r w:rsidR="00F0737E">
        <w:t>ž Wellmez je poskytovat pomoc a </w:t>
      </w:r>
      <w:r w:rsidRPr="00456D33">
        <w:t>podporu dospívajícím ve Velkém Meziříčí, kteří se ocitli v nepříznivé životní situaci nebo jsou jí ohroženi a přispívat ke zlepšení kvality jejich života.</w:t>
      </w:r>
    </w:p>
    <w:p w:rsidR="00456D33" w:rsidRPr="000D1D74" w:rsidRDefault="00456D33" w:rsidP="000D1D74"/>
    <w:p w:rsidR="009562C4" w:rsidRPr="009562C4" w:rsidRDefault="009562C4" w:rsidP="009562C4">
      <w:pPr>
        <w:pStyle w:val="Titulek"/>
        <w:keepNext/>
        <w:rPr>
          <w:b w:val="0"/>
        </w:rPr>
      </w:pPr>
      <w:bookmarkStart w:id="62" w:name="_Toc367794863"/>
      <w:r>
        <w:t xml:space="preserve">Tabulka č. </w:t>
      </w:r>
      <w:r w:rsidR="00EE3646">
        <w:fldChar w:fldCharType="begin"/>
      </w:r>
      <w:r w:rsidR="00EE3646">
        <w:instrText xml:space="preserve"> SEQ Tabulka_č. \* ARABIC </w:instrText>
      </w:r>
      <w:r w:rsidR="00EE3646">
        <w:fldChar w:fldCharType="separate"/>
      </w:r>
      <w:r w:rsidR="00594151">
        <w:rPr>
          <w:noProof/>
        </w:rPr>
        <w:t>19</w:t>
      </w:r>
      <w:r w:rsidR="00EE3646">
        <w:rPr>
          <w:noProof/>
        </w:rPr>
        <w:fldChar w:fldCharType="end"/>
      </w:r>
      <w:r>
        <w:t xml:space="preserve">: </w:t>
      </w:r>
      <w:r>
        <w:rPr>
          <w:b w:val="0"/>
        </w:rPr>
        <w:t>Wellmez - nízkoprahové zařízení pro děti a mládež</w:t>
      </w:r>
      <w:bookmarkEnd w:id="62"/>
    </w:p>
    <w:tbl>
      <w:tblPr>
        <w:tblStyle w:val="Stednmka1zvraznn42"/>
        <w:tblW w:w="0" w:type="auto"/>
        <w:tblLook w:val="04A0" w:firstRow="1" w:lastRow="0" w:firstColumn="1" w:lastColumn="0" w:noHBand="0" w:noVBand="1"/>
      </w:tblPr>
      <w:tblGrid>
        <w:gridCol w:w="2376"/>
        <w:gridCol w:w="6804"/>
      </w:tblGrid>
      <w:tr w:rsidR="000D1D74" w:rsidRPr="000D1D74" w:rsidTr="00AE1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Název</w:t>
            </w:r>
          </w:p>
        </w:tc>
        <w:tc>
          <w:tcPr>
            <w:tcW w:w="6804" w:type="dxa"/>
            <w:vAlign w:val="center"/>
          </w:tcPr>
          <w:p w:rsidR="000D1D74" w:rsidRPr="000D1D74" w:rsidRDefault="000D1D74" w:rsidP="000D1D74">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Wellmez – nízkoprahové zařízení pro děti a mládež</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Adresa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Hornoměstská ulice 9999</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594 01 Velké Meziříčí</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Kontakt</w:t>
            </w:r>
          </w:p>
        </w:tc>
        <w:tc>
          <w:tcPr>
            <w:tcW w:w="6804" w:type="dxa"/>
            <w:vAlign w:val="center"/>
          </w:tcPr>
          <w:p w:rsidR="000D1D74" w:rsidRPr="000D1D74" w:rsidRDefault="000D1D74" w:rsidP="000D1D74">
            <w:pPr>
              <w:numPr>
                <w:ilvl w:val="0"/>
                <w:numId w:val="21"/>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Jiří Dvořák, Dis. - vedoucí zařízení, 731 626 116, </w:t>
            </w:r>
            <w:hyperlink r:id="rId49" w:history="1">
              <w:r w:rsidRPr="000D1D74">
                <w:rPr>
                  <w:rFonts w:cs="Arial"/>
                  <w:color w:val="0000FF" w:themeColor="hyperlink"/>
                  <w:sz w:val="22"/>
                  <w:u w:val="single"/>
                </w:rPr>
                <w:t>jiri.dvorak@charita.cz</w:t>
              </w:r>
            </w:hyperlink>
            <w:r w:rsidRPr="000D1D74">
              <w:rPr>
                <w:rFonts w:cs="Arial"/>
                <w:sz w:val="22"/>
              </w:rPr>
              <w:t xml:space="preserve"> </w:t>
            </w:r>
          </w:p>
          <w:p w:rsidR="000D1D74" w:rsidRPr="000D1D74" w:rsidRDefault="000D1D74" w:rsidP="000D1D74">
            <w:pPr>
              <w:numPr>
                <w:ilvl w:val="0"/>
                <w:numId w:val="21"/>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Zdeňka Střechová, Dis. - zástupce vedoucího, 731 626 117, </w:t>
            </w:r>
            <w:hyperlink r:id="rId50" w:history="1">
              <w:r w:rsidRPr="000D1D74">
                <w:rPr>
                  <w:rFonts w:cs="Arial"/>
                  <w:color w:val="0000FF" w:themeColor="hyperlink"/>
                  <w:sz w:val="22"/>
                  <w:u w:val="single"/>
                </w:rPr>
                <w:t>wellmez.velmez@charita.cz</w:t>
              </w:r>
            </w:hyperlink>
            <w:r w:rsidRPr="000D1D74">
              <w:rPr>
                <w:rFonts w:cs="Arial"/>
                <w:sz w:val="22"/>
              </w:rPr>
              <w:t xml:space="preserve">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Druh sociální služby</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Nízkoprahová zařízení pro děti a mládež</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Forma poskytování sociální služby</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Ambulantní</w:t>
            </w:r>
          </w:p>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Terénní</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Cílová skupina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Děti a mládež</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Věková struktura</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12-15 let (25,9%)</w:t>
            </w:r>
          </w:p>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15-20 let (74,1%)</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Počet osob na území města Velké Meziříčí (stav k 31. 7. 2013)</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81</w:t>
            </w:r>
          </w:p>
        </w:tc>
      </w:tr>
      <w:tr w:rsidR="000D1D74" w:rsidRPr="000D1D74" w:rsidTr="00AE17C3">
        <w:trPr>
          <w:trHeight w:val="1172"/>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Výhled do budoucna ve vztahu k poskytování sociálních služeb na území města Velké Meziříčí</w:t>
            </w:r>
          </w:p>
        </w:tc>
        <w:tc>
          <w:tcPr>
            <w:tcW w:w="6804" w:type="dxa"/>
            <w:vAlign w:val="center"/>
          </w:tcPr>
          <w:p w:rsidR="000D1D74" w:rsidRPr="000D1D74" w:rsidRDefault="000D1D74" w:rsidP="000D1D74">
            <w:pPr>
              <w:spacing w:before="0"/>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Plán do budoucnosti je ve zvýšení návštěvnosti asi na úroveň </w:t>
            </w:r>
          </w:p>
          <w:p w:rsidR="000D1D74" w:rsidRPr="000D1D74" w:rsidRDefault="000D1D74" w:rsidP="000D1D74">
            <w:pPr>
              <w:spacing w:before="0"/>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25-30 osob/klub.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Height w:val="2454"/>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Provozní doba</w:t>
            </w:r>
          </w:p>
        </w:tc>
        <w:tc>
          <w:tcPr>
            <w:tcW w:w="6804" w:type="dxa"/>
            <w:vAlign w:val="center"/>
          </w:tcPr>
          <w:tbl>
            <w:tblPr>
              <w:tblStyle w:val="Mkatabulky1"/>
              <w:tblW w:w="0" w:type="auto"/>
              <w:tblLook w:val="04A0" w:firstRow="1" w:lastRow="0" w:firstColumn="1" w:lastColumn="0" w:noHBand="0" w:noVBand="1"/>
            </w:tblPr>
            <w:tblGrid>
              <w:gridCol w:w="1270"/>
              <w:gridCol w:w="1897"/>
              <w:gridCol w:w="1623"/>
              <w:gridCol w:w="1788"/>
            </w:tblGrid>
            <w:tr w:rsidR="000D1D74" w:rsidRPr="000D1D74" w:rsidTr="00AE17C3">
              <w:trPr>
                <w:trHeight w:val="498"/>
              </w:trPr>
              <w:tc>
                <w:tcPr>
                  <w:tcW w:w="1270" w:type="dxa"/>
                  <w:vAlign w:val="center"/>
                </w:tcPr>
                <w:p w:rsidR="000D1D74" w:rsidRPr="000D1D74" w:rsidRDefault="000D1D74" w:rsidP="000D1D74">
                  <w:pPr>
                    <w:spacing w:before="0"/>
                    <w:jc w:val="center"/>
                    <w:rPr>
                      <w:rFonts w:cs="Arial"/>
                      <w:sz w:val="20"/>
                    </w:rPr>
                  </w:pPr>
                </w:p>
              </w:tc>
              <w:tc>
                <w:tcPr>
                  <w:tcW w:w="1897" w:type="dxa"/>
                  <w:vAlign w:val="center"/>
                </w:tcPr>
                <w:p w:rsidR="000D1D74" w:rsidRPr="000D1D74" w:rsidRDefault="000D1D74" w:rsidP="000D1D74">
                  <w:pPr>
                    <w:spacing w:before="0"/>
                    <w:jc w:val="center"/>
                    <w:rPr>
                      <w:rFonts w:cs="Arial"/>
                      <w:sz w:val="20"/>
                    </w:rPr>
                  </w:pPr>
                  <w:r w:rsidRPr="000D1D74">
                    <w:rPr>
                      <w:rFonts w:cs="Arial"/>
                      <w:sz w:val="20"/>
                    </w:rPr>
                    <w:t>Nízkoprahový klub</w:t>
                  </w:r>
                </w:p>
              </w:tc>
              <w:tc>
                <w:tcPr>
                  <w:tcW w:w="1623" w:type="dxa"/>
                  <w:vAlign w:val="center"/>
                </w:tcPr>
                <w:p w:rsidR="000D1D74" w:rsidRPr="000D1D74" w:rsidRDefault="000D1D74" w:rsidP="000D1D74">
                  <w:pPr>
                    <w:spacing w:before="0"/>
                    <w:jc w:val="center"/>
                    <w:rPr>
                      <w:rFonts w:cs="Arial"/>
                      <w:sz w:val="20"/>
                    </w:rPr>
                  </w:pPr>
                  <w:r w:rsidRPr="000D1D74">
                    <w:rPr>
                      <w:rFonts w:cs="Arial"/>
                      <w:sz w:val="20"/>
                    </w:rPr>
                    <w:t>Terénní sociální práce</w:t>
                  </w:r>
                </w:p>
              </w:tc>
              <w:tc>
                <w:tcPr>
                  <w:tcW w:w="1788" w:type="dxa"/>
                  <w:vAlign w:val="center"/>
                </w:tcPr>
                <w:p w:rsidR="000D1D74" w:rsidRPr="000D1D74" w:rsidRDefault="000D1D74" w:rsidP="000D1D74">
                  <w:pPr>
                    <w:spacing w:before="0"/>
                    <w:jc w:val="center"/>
                    <w:rPr>
                      <w:rFonts w:cs="Arial"/>
                      <w:sz w:val="20"/>
                    </w:rPr>
                  </w:pPr>
                  <w:r w:rsidRPr="000D1D74">
                    <w:rPr>
                      <w:rFonts w:cs="Arial"/>
                      <w:sz w:val="20"/>
                    </w:rPr>
                    <w:t>Individuální práce s uživateli *</w:t>
                  </w:r>
                </w:p>
              </w:tc>
            </w:tr>
            <w:tr w:rsidR="000D1D74" w:rsidRPr="000D1D74" w:rsidTr="00AE17C3">
              <w:tc>
                <w:tcPr>
                  <w:tcW w:w="1270" w:type="dxa"/>
                  <w:vAlign w:val="center"/>
                </w:tcPr>
                <w:p w:rsidR="000D1D74" w:rsidRPr="000D1D74" w:rsidRDefault="000D1D74" w:rsidP="000D1D74">
                  <w:pPr>
                    <w:spacing w:before="0"/>
                    <w:jc w:val="center"/>
                    <w:rPr>
                      <w:rFonts w:cs="Arial"/>
                      <w:sz w:val="20"/>
                    </w:rPr>
                  </w:pPr>
                  <w:r w:rsidRPr="000D1D74">
                    <w:rPr>
                      <w:rFonts w:cs="Arial"/>
                      <w:sz w:val="20"/>
                    </w:rPr>
                    <w:t>pondělí</w:t>
                  </w:r>
                </w:p>
              </w:tc>
              <w:tc>
                <w:tcPr>
                  <w:tcW w:w="1897" w:type="dxa"/>
                  <w:vAlign w:val="center"/>
                </w:tcPr>
                <w:p w:rsidR="000D1D74" w:rsidRPr="000D1D74" w:rsidRDefault="000D1D74" w:rsidP="000D1D74">
                  <w:pPr>
                    <w:spacing w:before="0"/>
                    <w:jc w:val="center"/>
                    <w:rPr>
                      <w:rFonts w:cs="Arial"/>
                      <w:sz w:val="20"/>
                    </w:rPr>
                  </w:pPr>
                  <w:r w:rsidRPr="000D1D74">
                    <w:rPr>
                      <w:rFonts w:cs="Arial"/>
                      <w:sz w:val="20"/>
                    </w:rPr>
                    <w:t>-</w:t>
                  </w:r>
                </w:p>
              </w:tc>
              <w:tc>
                <w:tcPr>
                  <w:tcW w:w="1623" w:type="dxa"/>
                  <w:vAlign w:val="center"/>
                </w:tcPr>
                <w:p w:rsidR="000D1D74" w:rsidRPr="000D1D74" w:rsidRDefault="000D1D74" w:rsidP="000D1D74">
                  <w:pPr>
                    <w:spacing w:before="0"/>
                    <w:jc w:val="center"/>
                    <w:rPr>
                      <w:rFonts w:cs="Arial"/>
                      <w:sz w:val="20"/>
                    </w:rPr>
                  </w:pPr>
                  <w:r w:rsidRPr="000D1D74">
                    <w:rPr>
                      <w:rFonts w:cs="Arial"/>
                      <w:sz w:val="20"/>
                    </w:rPr>
                    <w:t>15 - 18</w:t>
                  </w:r>
                </w:p>
              </w:tc>
              <w:tc>
                <w:tcPr>
                  <w:tcW w:w="1788" w:type="dxa"/>
                  <w:vAlign w:val="center"/>
                </w:tcPr>
                <w:p w:rsidR="000D1D74" w:rsidRPr="000D1D74" w:rsidRDefault="000D1D74" w:rsidP="000D1D74">
                  <w:pPr>
                    <w:spacing w:before="0"/>
                    <w:jc w:val="center"/>
                    <w:rPr>
                      <w:rFonts w:cs="Arial"/>
                      <w:sz w:val="20"/>
                    </w:rPr>
                  </w:pPr>
                  <w:r w:rsidRPr="000D1D74">
                    <w:rPr>
                      <w:rFonts w:cs="Arial"/>
                      <w:sz w:val="20"/>
                    </w:rPr>
                    <w:t>13 - 15</w:t>
                  </w:r>
                </w:p>
              </w:tc>
            </w:tr>
            <w:tr w:rsidR="000D1D74" w:rsidRPr="000D1D74" w:rsidTr="00AE17C3">
              <w:tc>
                <w:tcPr>
                  <w:tcW w:w="1270" w:type="dxa"/>
                  <w:vAlign w:val="center"/>
                </w:tcPr>
                <w:p w:rsidR="000D1D74" w:rsidRPr="000D1D74" w:rsidRDefault="000D1D74" w:rsidP="000D1D74">
                  <w:pPr>
                    <w:spacing w:before="0"/>
                    <w:jc w:val="center"/>
                    <w:rPr>
                      <w:rFonts w:cs="Arial"/>
                      <w:sz w:val="20"/>
                    </w:rPr>
                  </w:pPr>
                  <w:r w:rsidRPr="000D1D74">
                    <w:rPr>
                      <w:rFonts w:cs="Arial"/>
                      <w:sz w:val="20"/>
                    </w:rPr>
                    <w:t>úterý</w:t>
                  </w:r>
                </w:p>
              </w:tc>
              <w:tc>
                <w:tcPr>
                  <w:tcW w:w="1897" w:type="dxa"/>
                  <w:vAlign w:val="center"/>
                </w:tcPr>
                <w:p w:rsidR="000D1D74" w:rsidRPr="000D1D74" w:rsidRDefault="000D1D74" w:rsidP="000D1D74">
                  <w:pPr>
                    <w:spacing w:before="0"/>
                    <w:jc w:val="center"/>
                    <w:rPr>
                      <w:rFonts w:cs="Arial"/>
                      <w:sz w:val="20"/>
                    </w:rPr>
                  </w:pPr>
                  <w:r w:rsidRPr="000D1D74">
                    <w:rPr>
                      <w:rFonts w:cs="Arial"/>
                      <w:sz w:val="20"/>
                    </w:rPr>
                    <w:t>14 - 19</w:t>
                  </w:r>
                </w:p>
              </w:tc>
              <w:tc>
                <w:tcPr>
                  <w:tcW w:w="1623" w:type="dxa"/>
                  <w:vAlign w:val="center"/>
                </w:tcPr>
                <w:p w:rsidR="000D1D74" w:rsidRPr="000D1D74" w:rsidRDefault="000D1D74" w:rsidP="000D1D74">
                  <w:pPr>
                    <w:spacing w:before="0"/>
                    <w:jc w:val="center"/>
                    <w:rPr>
                      <w:rFonts w:cs="Arial"/>
                      <w:sz w:val="20"/>
                    </w:rPr>
                  </w:pPr>
                  <w:r w:rsidRPr="000D1D74">
                    <w:rPr>
                      <w:rFonts w:cs="Arial"/>
                      <w:sz w:val="20"/>
                    </w:rPr>
                    <w:t>-</w:t>
                  </w:r>
                </w:p>
              </w:tc>
              <w:tc>
                <w:tcPr>
                  <w:tcW w:w="1788" w:type="dxa"/>
                  <w:vAlign w:val="center"/>
                </w:tcPr>
                <w:p w:rsidR="000D1D74" w:rsidRPr="000D1D74" w:rsidRDefault="000D1D74" w:rsidP="000D1D74">
                  <w:pPr>
                    <w:spacing w:before="0"/>
                    <w:jc w:val="center"/>
                    <w:rPr>
                      <w:rFonts w:cs="Arial"/>
                      <w:sz w:val="20"/>
                    </w:rPr>
                  </w:pPr>
                  <w:r w:rsidRPr="000D1D74">
                    <w:rPr>
                      <w:rFonts w:cs="Arial"/>
                      <w:sz w:val="20"/>
                    </w:rPr>
                    <w:t>-</w:t>
                  </w:r>
                </w:p>
              </w:tc>
            </w:tr>
            <w:tr w:rsidR="000D1D74" w:rsidRPr="000D1D74" w:rsidTr="00AE17C3">
              <w:tc>
                <w:tcPr>
                  <w:tcW w:w="1270" w:type="dxa"/>
                  <w:vAlign w:val="center"/>
                </w:tcPr>
                <w:p w:rsidR="000D1D74" w:rsidRPr="000D1D74" w:rsidRDefault="000D1D74" w:rsidP="000D1D74">
                  <w:pPr>
                    <w:spacing w:before="0"/>
                    <w:jc w:val="center"/>
                    <w:rPr>
                      <w:rFonts w:cs="Arial"/>
                      <w:sz w:val="20"/>
                    </w:rPr>
                  </w:pPr>
                  <w:r w:rsidRPr="000D1D74">
                    <w:rPr>
                      <w:rFonts w:cs="Arial"/>
                      <w:sz w:val="20"/>
                    </w:rPr>
                    <w:t>středa</w:t>
                  </w:r>
                </w:p>
              </w:tc>
              <w:tc>
                <w:tcPr>
                  <w:tcW w:w="1897" w:type="dxa"/>
                  <w:vAlign w:val="center"/>
                </w:tcPr>
                <w:p w:rsidR="000D1D74" w:rsidRPr="000D1D74" w:rsidRDefault="000D1D74" w:rsidP="000D1D74">
                  <w:pPr>
                    <w:spacing w:before="0"/>
                    <w:jc w:val="center"/>
                    <w:rPr>
                      <w:rFonts w:cs="Arial"/>
                      <w:sz w:val="20"/>
                    </w:rPr>
                  </w:pPr>
                  <w:r w:rsidRPr="000D1D74">
                    <w:rPr>
                      <w:rFonts w:cs="Arial"/>
                      <w:sz w:val="20"/>
                    </w:rPr>
                    <w:t>14 - 19</w:t>
                  </w:r>
                </w:p>
              </w:tc>
              <w:tc>
                <w:tcPr>
                  <w:tcW w:w="1623" w:type="dxa"/>
                  <w:vAlign w:val="center"/>
                </w:tcPr>
                <w:p w:rsidR="000D1D74" w:rsidRPr="000D1D74" w:rsidRDefault="000D1D74" w:rsidP="000D1D74">
                  <w:pPr>
                    <w:spacing w:before="0"/>
                    <w:jc w:val="center"/>
                    <w:rPr>
                      <w:rFonts w:cs="Arial"/>
                      <w:sz w:val="20"/>
                    </w:rPr>
                  </w:pPr>
                  <w:r w:rsidRPr="000D1D74">
                    <w:rPr>
                      <w:rFonts w:cs="Arial"/>
                      <w:sz w:val="20"/>
                    </w:rPr>
                    <w:t>-</w:t>
                  </w:r>
                </w:p>
              </w:tc>
              <w:tc>
                <w:tcPr>
                  <w:tcW w:w="1788" w:type="dxa"/>
                  <w:vAlign w:val="center"/>
                </w:tcPr>
                <w:p w:rsidR="000D1D74" w:rsidRPr="000D1D74" w:rsidRDefault="000D1D74" w:rsidP="000D1D74">
                  <w:pPr>
                    <w:spacing w:before="0"/>
                    <w:jc w:val="center"/>
                    <w:rPr>
                      <w:rFonts w:cs="Arial"/>
                      <w:sz w:val="20"/>
                    </w:rPr>
                  </w:pPr>
                  <w:r w:rsidRPr="000D1D74">
                    <w:rPr>
                      <w:rFonts w:cs="Arial"/>
                      <w:sz w:val="20"/>
                    </w:rPr>
                    <w:t>-</w:t>
                  </w:r>
                </w:p>
              </w:tc>
            </w:tr>
            <w:tr w:rsidR="000D1D74" w:rsidRPr="000D1D74" w:rsidTr="00AE17C3">
              <w:tc>
                <w:tcPr>
                  <w:tcW w:w="1270" w:type="dxa"/>
                  <w:vAlign w:val="center"/>
                </w:tcPr>
                <w:p w:rsidR="000D1D74" w:rsidRPr="000D1D74" w:rsidRDefault="000D1D74" w:rsidP="000D1D74">
                  <w:pPr>
                    <w:spacing w:before="0"/>
                    <w:jc w:val="center"/>
                    <w:rPr>
                      <w:rFonts w:cs="Arial"/>
                      <w:sz w:val="20"/>
                    </w:rPr>
                  </w:pPr>
                  <w:r w:rsidRPr="000D1D74">
                    <w:rPr>
                      <w:rFonts w:cs="Arial"/>
                      <w:sz w:val="20"/>
                    </w:rPr>
                    <w:t>čtvrtek</w:t>
                  </w:r>
                </w:p>
              </w:tc>
              <w:tc>
                <w:tcPr>
                  <w:tcW w:w="1897" w:type="dxa"/>
                  <w:vAlign w:val="center"/>
                </w:tcPr>
                <w:p w:rsidR="000D1D74" w:rsidRPr="000D1D74" w:rsidRDefault="000D1D74" w:rsidP="000D1D74">
                  <w:pPr>
                    <w:spacing w:before="0"/>
                    <w:jc w:val="center"/>
                    <w:rPr>
                      <w:rFonts w:cs="Arial"/>
                      <w:sz w:val="20"/>
                    </w:rPr>
                  </w:pPr>
                  <w:r w:rsidRPr="000D1D74">
                    <w:rPr>
                      <w:rFonts w:cs="Arial"/>
                      <w:sz w:val="20"/>
                    </w:rPr>
                    <w:t>14 - 19</w:t>
                  </w:r>
                </w:p>
              </w:tc>
              <w:tc>
                <w:tcPr>
                  <w:tcW w:w="1623" w:type="dxa"/>
                  <w:vAlign w:val="center"/>
                </w:tcPr>
                <w:p w:rsidR="000D1D74" w:rsidRPr="000D1D74" w:rsidRDefault="000D1D74" w:rsidP="000D1D74">
                  <w:pPr>
                    <w:spacing w:before="0"/>
                    <w:jc w:val="center"/>
                    <w:rPr>
                      <w:rFonts w:cs="Arial"/>
                      <w:sz w:val="20"/>
                    </w:rPr>
                  </w:pPr>
                  <w:r w:rsidRPr="000D1D74">
                    <w:rPr>
                      <w:rFonts w:cs="Arial"/>
                      <w:sz w:val="20"/>
                    </w:rPr>
                    <w:t>-</w:t>
                  </w:r>
                </w:p>
              </w:tc>
              <w:tc>
                <w:tcPr>
                  <w:tcW w:w="1788" w:type="dxa"/>
                  <w:vAlign w:val="center"/>
                </w:tcPr>
                <w:p w:rsidR="000D1D74" w:rsidRPr="000D1D74" w:rsidRDefault="000D1D74" w:rsidP="000D1D74">
                  <w:pPr>
                    <w:spacing w:before="0"/>
                    <w:jc w:val="center"/>
                    <w:rPr>
                      <w:rFonts w:cs="Arial"/>
                      <w:sz w:val="20"/>
                    </w:rPr>
                  </w:pPr>
                  <w:r w:rsidRPr="000D1D74">
                    <w:rPr>
                      <w:rFonts w:cs="Arial"/>
                      <w:sz w:val="20"/>
                    </w:rPr>
                    <w:t>-</w:t>
                  </w:r>
                </w:p>
              </w:tc>
            </w:tr>
            <w:tr w:rsidR="000D1D74" w:rsidRPr="000D1D74" w:rsidTr="00AE17C3">
              <w:tc>
                <w:tcPr>
                  <w:tcW w:w="1270" w:type="dxa"/>
                  <w:vAlign w:val="center"/>
                </w:tcPr>
                <w:p w:rsidR="000D1D74" w:rsidRPr="000D1D74" w:rsidRDefault="000D1D74" w:rsidP="000D1D74">
                  <w:pPr>
                    <w:spacing w:before="0"/>
                    <w:jc w:val="center"/>
                    <w:rPr>
                      <w:rFonts w:cs="Arial"/>
                      <w:sz w:val="20"/>
                    </w:rPr>
                  </w:pPr>
                  <w:r w:rsidRPr="000D1D74">
                    <w:rPr>
                      <w:rFonts w:cs="Arial"/>
                      <w:sz w:val="20"/>
                    </w:rPr>
                    <w:t>pátek</w:t>
                  </w:r>
                </w:p>
              </w:tc>
              <w:tc>
                <w:tcPr>
                  <w:tcW w:w="1897" w:type="dxa"/>
                  <w:vAlign w:val="center"/>
                </w:tcPr>
                <w:p w:rsidR="000D1D74" w:rsidRPr="000D1D74" w:rsidRDefault="000D1D74" w:rsidP="000D1D74">
                  <w:pPr>
                    <w:spacing w:before="0"/>
                    <w:jc w:val="center"/>
                    <w:rPr>
                      <w:rFonts w:cs="Arial"/>
                      <w:sz w:val="20"/>
                    </w:rPr>
                  </w:pPr>
                  <w:r w:rsidRPr="000D1D74">
                    <w:rPr>
                      <w:rFonts w:cs="Arial"/>
                      <w:sz w:val="20"/>
                    </w:rPr>
                    <w:t>-</w:t>
                  </w:r>
                </w:p>
              </w:tc>
              <w:tc>
                <w:tcPr>
                  <w:tcW w:w="1623" w:type="dxa"/>
                  <w:vAlign w:val="center"/>
                </w:tcPr>
                <w:p w:rsidR="000D1D74" w:rsidRPr="000D1D74" w:rsidRDefault="000D1D74" w:rsidP="000D1D74">
                  <w:pPr>
                    <w:spacing w:before="0"/>
                    <w:jc w:val="center"/>
                    <w:rPr>
                      <w:rFonts w:cs="Arial"/>
                      <w:sz w:val="20"/>
                    </w:rPr>
                  </w:pPr>
                  <w:r w:rsidRPr="000D1D74">
                    <w:rPr>
                      <w:rFonts w:cs="Arial"/>
                      <w:sz w:val="20"/>
                    </w:rPr>
                    <w:t>7,30 - 8,30 **</w:t>
                  </w:r>
                </w:p>
              </w:tc>
              <w:tc>
                <w:tcPr>
                  <w:tcW w:w="1788" w:type="dxa"/>
                  <w:vAlign w:val="center"/>
                </w:tcPr>
                <w:p w:rsidR="000D1D74" w:rsidRPr="000D1D74" w:rsidRDefault="000D1D74" w:rsidP="000D1D74">
                  <w:pPr>
                    <w:spacing w:before="0"/>
                    <w:jc w:val="center"/>
                    <w:rPr>
                      <w:rFonts w:cs="Arial"/>
                      <w:sz w:val="20"/>
                    </w:rPr>
                  </w:pPr>
                  <w:r w:rsidRPr="000D1D74">
                    <w:rPr>
                      <w:rFonts w:cs="Arial"/>
                      <w:sz w:val="20"/>
                    </w:rPr>
                    <w:t>13 - 15</w:t>
                  </w:r>
                </w:p>
              </w:tc>
            </w:tr>
          </w:tbl>
          <w:p w:rsidR="000D1D74" w:rsidRPr="000D1D74" w:rsidRDefault="000D1D74" w:rsidP="000D1D74">
            <w:pPr>
              <w:spacing w:before="0"/>
              <w:cnfStyle w:val="000000100000" w:firstRow="0" w:lastRow="0" w:firstColumn="0" w:lastColumn="0" w:oddVBand="0" w:evenVBand="0" w:oddHBand="1" w:evenHBand="0" w:firstRowFirstColumn="0" w:firstRowLastColumn="0" w:lastRowFirstColumn="0" w:lastRowLastColumn="0"/>
              <w:rPr>
                <w:rFonts w:cs="Arial"/>
                <w:sz w:val="14"/>
              </w:rPr>
            </w:pPr>
            <w:r w:rsidRPr="000D1D74">
              <w:rPr>
                <w:rFonts w:cs="Arial"/>
                <w:sz w:val="14"/>
              </w:rPr>
              <w:t>* případně po předchozí domluvě</w:t>
            </w:r>
          </w:p>
          <w:p w:rsidR="000D1D74" w:rsidRPr="000D1D74" w:rsidRDefault="000D1D74" w:rsidP="000D1D74">
            <w:pPr>
              <w:spacing w:before="0"/>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14"/>
              </w:rPr>
              <w:t>** neplatí v době prázdnin</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Ostatní (např. požadavek na dotační prostředky v roce 2014 od Velkého Meziříčí)</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Pro zachování stávající kvality poskytované služby a udržení minimálně 3 pracovníků, v součtu úvazku 2,5, vidíme částku 300.000,- Kč jako nutnou. </w:t>
            </w:r>
          </w:p>
        </w:tc>
      </w:tr>
    </w:tbl>
    <w:p w:rsidR="002B6901" w:rsidRPr="002B6901" w:rsidRDefault="002B6901" w:rsidP="002B6901"/>
    <w:p w:rsidR="00D22F26" w:rsidRDefault="00D22F26">
      <w:pPr>
        <w:spacing w:before="0" w:after="200" w:line="276" w:lineRule="auto"/>
        <w:jc w:val="left"/>
        <w:rPr>
          <w:rFonts w:eastAsiaTheme="majorEastAsia" w:cstheme="majorBidi"/>
          <w:b/>
          <w:bCs/>
        </w:rPr>
      </w:pPr>
      <w:r>
        <w:br w:type="page"/>
      </w:r>
    </w:p>
    <w:p w:rsidR="009D1A00" w:rsidRPr="00DD261D" w:rsidRDefault="009D1A00" w:rsidP="00996CAC">
      <w:pPr>
        <w:pStyle w:val="Nadpis4"/>
      </w:pPr>
      <w:bookmarkStart w:id="63" w:name="_Toc367278161"/>
      <w:r w:rsidRPr="00DD261D">
        <w:t>Centrum prevence Oblastní charity Žďár nad Sázavou</w:t>
      </w:r>
      <w:bookmarkEnd w:id="63"/>
    </w:p>
    <w:p w:rsidR="00456D33" w:rsidRPr="00456D33" w:rsidRDefault="00456D33" w:rsidP="00456D33">
      <w:r>
        <w:t xml:space="preserve">Centrum prevence realizuje programy primární prevence a adaptační kurzy, které pomáhají upevnit znalosti, dovednosti a postoje mladého dospívajícího člověka tak, aby se vyhnul rizikovému chování (zneužívání legálních a nelegálních návykových látek, agresivita, vandalismus apod.). Žáky a studenty škol a školských zařízení podporuje v posílení zdravého sebevědomí, sebedůvěře, v komunikačních dovednostech, toleranci, přijetí odpovědnosti za své chování. </w:t>
      </w:r>
    </w:p>
    <w:p w:rsidR="000D1D74" w:rsidRPr="000D1D74" w:rsidRDefault="000D1D74" w:rsidP="000D1D74"/>
    <w:p w:rsidR="009562C4" w:rsidRPr="002E34F8" w:rsidRDefault="009562C4" w:rsidP="009562C4">
      <w:pPr>
        <w:pStyle w:val="Titulek"/>
        <w:keepNext/>
        <w:rPr>
          <w:b w:val="0"/>
        </w:rPr>
      </w:pPr>
      <w:bookmarkStart w:id="64" w:name="_Toc367794864"/>
      <w:r>
        <w:t xml:space="preserve">Tabulka č. </w:t>
      </w:r>
      <w:r w:rsidR="00EE3646">
        <w:fldChar w:fldCharType="begin"/>
      </w:r>
      <w:r w:rsidR="00EE3646">
        <w:instrText xml:space="preserve"> SEQ Tabulka_č. \* ARABIC </w:instrText>
      </w:r>
      <w:r w:rsidR="00EE3646">
        <w:fldChar w:fldCharType="separate"/>
      </w:r>
      <w:r w:rsidR="00594151">
        <w:rPr>
          <w:noProof/>
        </w:rPr>
        <w:t>20</w:t>
      </w:r>
      <w:r w:rsidR="00EE3646">
        <w:rPr>
          <w:noProof/>
        </w:rPr>
        <w:fldChar w:fldCharType="end"/>
      </w:r>
      <w:r>
        <w:t xml:space="preserve">: </w:t>
      </w:r>
      <w:r w:rsidR="002E34F8">
        <w:rPr>
          <w:b w:val="0"/>
        </w:rPr>
        <w:t>Centrum prevence Oblastní charity Žďár nad Sázavou</w:t>
      </w:r>
      <w:bookmarkEnd w:id="64"/>
    </w:p>
    <w:tbl>
      <w:tblPr>
        <w:tblStyle w:val="Stednmka1zvraznn23"/>
        <w:tblW w:w="0" w:type="auto"/>
        <w:tblLook w:val="04A0" w:firstRow="1" w:lastRow="0" w:firstColumn="1" w:lastColumn="0" w:noHBand="0" w:noVBand="1"/>
      </w:tblPr>
      <w:tblGrid>
        <w:gridCol w:w="2376"/>
        <w:gridCol w:w="6804"/>
      </w:tblGrid>
      <w:tr w:rsidR="000D1D74" w:rsidRPr="000D1D74" w:rsidTr="00AE1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Název</w:t>
            </w:r>
          </w:p>
        </w:tc>
        <w:tc>
          <w:tcPr>
            <w:tcW w:w="6804" w:type="dxa"/>
          </w:tcPr>
          <w:p w:rsidR="000D1D74" w:rsidRPr="000D1D74" w:rsidRDefault="000D1D74" w:rsidP="000D1D74">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Centrum prevence Oblastní charity Žďár nad Sázavou</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Adresa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Horní 22</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591 01, Žďár nad Sázavou</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 xml:space="preserve">Kontakt </w:t>
            </w:r>
          </w:p>
        </w:tc>
        <w:tc>
          <w:tcPr>
            <w:tcW w:w="6804" w:type="dxa"/>
            <w:vAlign w:val="center"/>
          </w:tcPr>
          <w:p w:rsidR="000D1D74" w:rsidRPr="000D1D74" w:rsidRDefault="000D1D74" w:rsidP="000D1D74">
            <w:pPr>
              <w:numPr>
                <w:ilvl w:val="0"/>
                <w:numId w:val="23"/>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Bc. Jana Lacinová, Dis. - vedoucí, 777 755 658, </w:t>
            </w:r>
            <w:hyperlink r:id="rId51" w:history="1">
              <w:r w:rsidRPr="000D1D74">
                <w:rPr>
                  <w:rFonts w:cs="Arial"/>
                  <w:color w:val="0000FF" w:themeColor="hyperlink"/>
                  <w:sz w:val="22"/>
                  <w:u w:val="single"/>
                </w:rPr>
                <w:t>prevence.zdar@charita.cz</w:t>
              </w:r>
            </w:hyperlink>
            <w:r w:rsidRPr="000D1D74">
              <w:rPr>
                <w:rFonts w:cs="Arial"/>
                <w:sz w:val="22"/>
              </w:rPr>
              <w:t xml:space="preserve"> </w:t>
            </w:r>
          </w:p>
          <w:p w:rsidR="000D1D74" w:rsidRPr="000D1D74" w:rsidRDefault="000D1D74" w:rsidP="000D1D74">
            <w:pPr>
              <w:numPr>
                <w:ilvl w:val="0"/>
                <w:numId w:val="23"/>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David Filip - zástupce vedoucího, 731 405 530, </w:t>
            </w:r>
            <w:hyperlink r:id="rId52" w:history="1">
              <w:r w:rsidRPr="000D1D74">
                <w:rPr>
                  <w:rFonts w:cs="Arial"/>
                  <w:color w:val="0000FF" w:themeColor="hyperlink"/>
                  <w:sz w:val="22"/>
                  <w:u w:val="single"/>
                </w:rPr>
                <w:t>prevence.zdar@charita.cz</w:t>
              </w:r>
            </w:hyperlink>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Druh sociální služby</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 xml:space="preserve">Centrum prevence není sociální službou, ale v rámci svého poslání se všemi sociálními službami intenzivně spolupracuje v rámci primární prevence rizikového chování. </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Forma poskytování sociální služby</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Terénní</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Cílová skupina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 xml:space="preserve">Třídní kolektivy základních a středních škol, které se běžně setkávají s různými druhy rizikového chování. </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Věková struktura</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10-20 let</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Počet osob na území města Velké Meziříčí (stav k 31. 7. 2013)</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 xml:space="preserve">CP OCHZR působí na: </w:t>
            </w:r>
          </w:p>
          <w:p w:rsidR="000D1D74" w:rsidRPr="000D1D74" w:rsidRDefault="000D1D74" w:rsidP="000D1D74">
            <w:pPr>
              <w:numPr>
                <w:ilvl w:val="0"/>
                <w:numId w:val="14"/>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4 školách ve Velkém Meziříčí (ZŠ Školní, ZŠ Sokolovská, Střední škola řemesel a služeb, Střední hotelová škola)</w:t>
            </w:r>
          </w:p>
          <w:p w:rsidR="000D1D74" w:rsidRPr="000D1D74" w:rsidRDefault="000D1D74" w:rsidP="000D1D74">
            <w:pPr>
              <w:numPr>
                <w:ilvl w:val="0"/>
                <w:numId w:val="14"/>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Ve 32 třídách</w:t>
            </w:r>
          </w:p>
          <w:p w:rsidR="000D1D74" w:rsidRPr="000D1D74" w:rsidRDefault="000D1D74" w:rsidP="000D1D74">
            <w:pPr>
              <w:numPr>
                <w:ilvl w:val="0"/>
                <w:numId w:val="14"/>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Spolupracuje se 32 třídními učiteli a 4 metodiky prevence</w:t>
            </w:r>
          </w:p>
          <w:p w:rsidR="000D1D74" w:rsidRPr="000D1D74" w:rsidRDefault="000D1D74" w:rsidP="000D1D74">
            <w:pPr>
              <w:numPr>
                <w:ilvl w:val="0"/>
                <w:numId w:val="14"/>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Ročně spolupracuje průměrně se 455 žáky</w:t>
            </w:r>
          </w:p>
          <w:p w:rsidR="000D1D74" w:rsidRPr="000D1D74" w:rsidRDefault="000D1D74" w:rsidP="000D1D74">
            <w:pPr>
              <w:numPr>
                <w:ilvl w:val="0"/>
                <w:numId w:val="14"/>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 xml:space="preserve">V roce 2013 realizuje na školách ve Velkém Meziříčí 59 programů. </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Výhled do budoucna ve vztahu k poskytování sociálních služeb na území města Velké Meziříčí</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CP OCHZR má přislíbenou dlouhodobou spolupráci se dvěma základními školami (ZŠ Sokolovská, ZŠ Školní). V budoucnu by velice ráda působila i na ZŠ Oslavická.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Provozní doba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Ostatní (např. požadavek na dotační prostředky v roce 2014 od Velkého Meziříčí)</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Výše částky požadované od města: </w:t>
            </w:r>
          </w:p>
          <w:p w:rsidR="000D1D74" w:rsidRPr="000D1D74" w:rsidRDefault="000D1D74" w:rsidP="000D1D74">
            <w:pPr>
              <w:numPr>
                <w:ilvl w:val="0"/>
                <w:numId w:val="22"/>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Reálná cena programu je průměrně 9.400,- Kč. </w:t>
            </w:r>
          </w:p>
          <w:p w:rsidR="000D1D74" w:rsidRPr="000D1D74" w:rsidRDefault="000D1D74" w:rsidP="000D1D74">
            <w:pPr>
              <w:numPr>
                <w:ilvl w:val="0"/>
                <w:numId w:val="22"/>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Školám, kde města přímo podporují CP OCHZR je účtována částka 1.000,- Kč (jinak 1.200,- Kč). </w:t>
            </w:r>
          </w:p>
          <w:p w:rsidR="000D1D74" w:rsidRPr="000D1D74" w:rsidRDefault="000D1D74" w:rsidP="000D1D74">
            <w:pPr>
              <w:numPr>
                <w:ilvl w:val="0"/>
                <w:numId w:val="22"/>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CP OCHZR žádá od města Velké Meziříčí 200.000,- Kč na roční provoz. </w:t>
            </w:r>
          </w:p>
        </w:tc>
      </w:tr>
    </w:tbl>
    <w:p w:rsidR="00B12BE4" w:rsidRPr="00996CAC" w:rsidRDefault="00B12BE4" w:rsidP="00996CAC">
      <w:pPr>
        <w:pStyle w:val="Nadpis3"/>
        <w:numPr>
          <w:ilvl w:val="0"/>
          <w:numId w:val="0"/>
        </w:numPr>
        <w:jc w:val="both"/>
        <w:rPr>
          <w:b w:val="0"/>
          <w:i/>
        </w:rPr>
      </w:pPr>
    </w:p>
    <w:p w:rsidR="00B12BE4" w:rsidRDefault="00B12BE4">
      <w:pPr>
        <w:spacing w:before="0" w:after="200" w:line="276" w:lineRule="auto"/>
        <w:jc w:val="left"/>
        <w:rPr>
          <w:rFonts w:eastAsiaTheme="majorEastAsia" w:cstheme="majorBidi"/>
          <w:b/>
          <w:bCs/>
          <w:sz w:val="28"/>
        </w:rPr>
      </w:pPr>
      <w:r>
        <w:br w:type="page"/>
      </w:r>
    </w:p>
    <w:p w:rsidR="009D1A00" w:rsidRPr="00DD261D" w:rsidRDefault="009D1A00" w:rsidP="00996CAC">
      <w:pPr>
        <w:pStyle w:val="Nadpis4"/>
      </w:pPr>
      <w:bookmarkStart w:id="65" w:name="_Toc367278162"/>
      <w:r w:rsidRPr="00DD261D">
        <w:t>Kopretina - centrum pro rodiče s dětmi ve Velkém Meziříčí</w:t>
      </w:r>
      <w:bookmarkEnd w:id="65"/>
    </w:p>
    <w:p w:rsidR="00677F33" w:rsidRDefault="00677F33" w:rsidP="00677F33">
      <w:r>
        <w:t>Posláním Kopretiny - centra pro rodiče s dětmi je podpora rodiny, zvyšování rodičovských kompetencí a zodpovědnosti. Pomocí vlastních programů působí preventivně proti negativním jevům v rodině, podporuje</w:t>
      </w:r>
      <w:r w:rsidR="00B12BE4">
        <w:t xml:space="preserve"> mezigenerační komunikaci, vztahy a soudržnost rodiny. </w:t>
      </w:r>
    </w:p>
    <w:p w:rsidR="000D1D74" w:rsidRDefault="000D1D74" w:rsidP="00677F33"/>
    <w:p w:rsidR="002E34F8" w:rsidRPr="002E34F8" w:rsidRDefault="002E34F8" w:rsidP="002E34F8">
      <w:pPr>
        <w:pStyle w:val="Titulek"/>
        <w:keepNext/>
        <w:rPr>
          <w:b w:val="0"/>
        </w:rPr>
      </w:pPr>
      <w:bookmarkStart w:id="66" w:name="_Toc367794865"/>
      <w:r>
        <w:t xml:space="preserve">Tabulka č. </w:t>
      </w:r>
      <w:r w:rsidR="00EE3646">
        <w:fldChar w:fldCharType="begin"/>
      </w:r>
      <w:r w:rsidR="00EE3646">
        <w:instrText xml:space="preserve"> SEQ Tabulka_</w:instrText>
      </w:r>
      <w:r w:rsidR="00EE3646">
        <w:instrText xml:space="preserve">č. \* ARABIC </w:instrText>
      </w:r>
      <w:r w:rsidR="00EE3646">
        <w:fldChar w:fldCharType="separate"/>
      </w:r>
      <w:r w:rsidR="00594151">
        <w:rPr>
          <w:noProof/>
        </w:rPr>
        <w:t>21</w:t>
      </w:r>
      <w:r w:rsidR="00EE3646">
        <w:rPr>
          <w:noProof/>
        </w:rPr>
        <w:fldChar w:fldCharType="end"/>
      </w:r>
      <w:r>
        <w:t xml:space="preserve">: </w:t>
      </w:r>
      <w:r>
        <w:rPr>
          <w:b w:val="0"/>
        </w:rPr>
        <w:t>Kopretina - centrum pro rodiče s dětmi ve Velkém Meziříčí</w:t>
      </w:r>
      <w:bookmarkEnd w:id="66"/>
    </w:p>
    <w:tbl>
      <w:tblPr>
        <w:tblStyle w:val="Stednmka1zvraznn63"/>
        <w:tblW w:w="0" w:type="auto"/>
        <w:tblLook w:val="04A0" w:firstRow="1" w:lastRow="0" w:firstColumn="1" w:lastColumn="0" w:noHBand="0" w:noVBand="1"/>
      </w:tblPr>
      <w:tblGrid>
        <w:gridCol w:w="2376"/>
        <w:gridCol w:w="6804"/>
      </w:tblGrid>
      <w:tr w:rsidR="000D1D74" w:rsidRPr="000D1D74" w:rsidTr="00AE1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Název</w:t>
            </w:r>
          </w:p>
        </w:tc>
        <w:tc>
          <w:tcPr>
            <w:tcW w:w="6804" w:type="dxa"/>
          </w:tcPr>
          <w:p w:rsidR="000D1D74" w:rsidRPr="000D1D74" w:rsidRDefault="000D1D74" w:rsidP="000D1D74">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Kopretina - centrum pro rodiče s dětmi ve Velkém Meziříčí</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Adresa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Ostrůvek 288/2</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594 01 Velké Meziříčí</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Kontakt</w:t>
            </w:r>
          </w:p>
        </w:tc>
        <w:tc>
          <w:tcPr>
            <w:tcW w:w="6804" w:type="dxa"/>
            <w:vAlign w:val="center"/>
          </w:tcPr>
          <w:p w:rsidR="000D1D74" w:rsidRPr="000D1D74" w:rsidRDefault="000D1D74" w:rsidP="000D1D74">
            <w:pPr>
              <w:numPr>
                <w:ilvl w:val="0"/>
                <w:numId w:val="25"/>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Bc. Zdenka Šrámková - vedoucí zařízení, 732 126 905, </w:t>
            </w:r>
            <w:hyperlink r:id="rId53" w:history="1">
              <w:r w:rsidRPr="000D1D74">
                <w:rPr>
                  <w:rFonts w:cs="Arial"/>
                  <w:color w:val="0000FF" w:themeColor="hyperlink"/>
                  <w:sz w:val="22"/>
                  <w:u w:val="single"/>
                </w:rPr>
                <w:t>kopretina.radsvratka@charita.cz</w:t>
              </w:r>
            </w:hyperlink>
            <w:r w:rsidRPr="000D1D74">
              <w:rPr>
                <w:rFonts w:cs="Arial"/>
                <w:sz w:val="22"/>
              </w:rPr>
              <w:t xml:space="preserve"> </w:t>
            </w:r>
          </w:p>
          <w:p w:rsidR="000D1D74" w:rsidRPr="000D1D74" w:rsidRDefault="000D1D74" w:rsidP="000D1D74">
            <w:pPr>
              <w:numPr>
                <w:ilvl w:val="0"/>
                <w:numId w:val="25"/>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Martina Cočevová - zástupce vedoucího, 732 126 905, </w:t>
            </w:r>
            <w:hyperlink r:id="rId54" w:history="1">
              <w:r w:rsidRPr="000D1D74">
                <w:rPr>
                  <w:rFonts w:cs="Arial"/>
                  <w:color w:val="0000FF" w:themeColor="hyperlink"/>
                  <w:sz w:val="22"/>
                  <w:u w:val="single"/>
                </w:rPr>
                <w:t>kopretina.radsvratka@charita.cz</w:t>
              </w:r>
            </w:hyperlink>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Druh sociální služby</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Prorodinné služby</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Forma poskytování sociální služby</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Cílová skupina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Rodiny s dětmi</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Matky/otcové na mateřské/rodičovské dovolené</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Těhotné ženy a jejich partneři</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Věková struktura</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0 - 60 let</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Počet osob na území města Velké Meziříčí (stav k 31. 7. 2013)</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237 rodin</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Výhled do budoucna ve vztahu k poskytování sociálních služeb na území města Velké Meziříčí</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Navýšení finanční dotací od města.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Provozní doba</w:t>
            </w:r>
          </w:p>
        </w:tc>
        <w:tc>
          <w:tcPr>
            <w:tcW w:w="6804" w:type="dxa"/>
            <w:vAlign w:val="center"/>
          </w:tcPr>
          <w:tbl>
            <w:tblPr>
              <w:tblStyle w:val="Mkatabulky2"/>
              <w:tblW w:w="0" w:type="auto"/>
              <w:tblLook w:val="04A0" w:firstRow="1" w:lastRow="0" w:firstColumn="1" w:lastColumn="0" w:noHBand="0" w:noVBand="1"/>
            </w:tblPr>
            <w:tblGrid>
              <w:gridCol w:w="1314"/>
              <w:gridCol w:w="1314"/>
              <w:gridCol w:w="1315"/>
              <w:gridCol w:w="1315"/>
              <w:gridCol w:w="1315"/>
            </w:tblGrid>
            <w:tr w:rsidR="000D1D74" w:rsidRPr="000D1D74" w:rsidTr="00AE17C3">
              <w:tc>
                <w:tcPr>
                  <w:tcW w:w="1314" w:type="dxa"/>
                  <w:vAlign w:val="center"/>
                </w:tcPr>
                <w:p w:rsidR="000D1D74" w:rsidRPr="000D1D74" w:rsidRDefault="000D1D74" w:rsidP="000D1D74">
                  <w:pPr>
                    <w:spacing w:before="0"/>
                    <w:jc w:val="center"/>
                    <w:rPr>
                      <w:rFonts w:cs="Arial"/>
                      <w:sz w:val="18"/>
                    </w:rPr>
                  </w:pPr>
                  <w:r w:rsidRPr="000D1D74">
                    <w:rPr>
                      <w:rFonts w:cs="Arial"/>
                      <w:sz w:val="18"/>
                    </w:rPr>
                    <w:t>pondělí</w:t>
                  </w:r>
                </w:p>
              </w:tc>
              <w:tc>
                <w:tcPr>
                  <w:tcW w:w="1314" w:type="dxa"/>
                  <w:vAlign w:val="center"/>
                </w:tcPr>
                <w:p w:rsidR="000D1D74" w:rsidRPr="000D1D74" w:rsidRDefault="000D1D74" w:rsidP="000D1D74">
                  <w:pPr>
                    <w:spacing w:before="0"/>
                    <w:jc w:val="center"/>
                    <w:rPr>
                      <w:rFonts w:cs="Arial"/>
                      <w:sz w:val="18"/>
                    </w:rPr>
                  </w:pPr>
                  <w:r w:rsidRPr="000D1D74">
                    <w:rPr>
                      <w:rFonts w:cs="Arial"/>
                      <w:sz w:val="18"/>
                    </w:rPr>
                    <w:t>úterý</w:t>
                  </w:r>
                </w:p>
              </w:tc>
              <w:tc>
                <w:tcPr>
                  <w:tcW w:w="1315" w:type="dxa"/>
                  <w:vAlign w:val="center"/>
                </w:tcPr>
                <w:p w:rsidR="000D1D74" w:rsidRPr="000D1D74" w:rsidRDefault="000D1D74" w:rsidP="000D1D74">
                  <w:pPr>
                    <w:spacing w:before="0"/>
                    <w:jc w:val="center"/>
                    <w:rPr>
                      <w:rFonts w:cs="Arial"/>
                      <w:sz w:val="18"/>
                    </w:rPr>
                  </w:pPr>
                  <w:r w:rsidRPr="000D1D74">
                    <w:rPr>
                      <w:rFonts w:cs="Arial"/>
                      <w:sz w:val="18"/>
                    </w:rPr>
                    <w:t>středa</w:t>
                  </w:r>
                </w:p>
              </w:tc>
              <w:tc>
                <w:tcPr>
                  <w:tcW w:w="1315" w:type="dxa"/>
                  <w:vAlign w:val="center"/>
                </w:tcPr>
                <w:p w:rsidR="000D1D74" w:rsidRPr="000D1D74" w:rsidRDefault="000D1D74" w:rsidP="000D1D74">
                  <w:pPr>
                    <w:spacing w:before="0"/>
                    <w:jc w:val="center"/>
                    <w:rPr>
                      <w:rFonts w:cs="Arial"/>
                      <w:sz w:val="18"/>
                    </w:rPr>
                  </w:pPr>
                  <w:r w:rsidRPr="000D1D74">
                    <w:rPr>
                      <w:rFonts w:cs="Arial"/>
                      <w:sz w:val="18"/>
                    </w:rPr>
                    <w:t>čtvrtek</w:t>
                  </w:r>
                </w:p>
              </w:tc>
              <w:tc>
                <w:tcPr>
                  <w:tcW w:w="1315" w:type="dxa"/>
                  <w:vAlign w:val="center"/>
                </w:tcPr>
                <w:p w:rsidR="000D1D74" w:rsidRPr="000D1D74" w:rsidRDefault="000D1D74" w:rsidP="000D1D74">
                  <w:pPr>
                    <w:spacing w:before="0"/>
                    <w:jc w:val="center"/>
                    <w:rPr>
                      <w:rFonts w:cs="Arial"/>
                      <w:sz w:val="18"/>
                    </w:rPr>
                  </w:pPr>
                  <w:r w:rsidRPr="000D1D74">
                    <w:rPr>
                      <w:rFonts w:cs="Arial"/>
                      <w:sz w:val="18"/>
                    </w:rPr>
                    <w:t>Pátek</w:t>
                  </w:r>
                </w:p>
              </w:tc>
            </w:tr>
            <w:tr w:rsidR="000D1D74" w:rsidRPr="000D1D74" w:rsidTr="00AE17C3">
              <w:tc>
                <w:tcPr>
                  <w:tcW w:w="1314" w:type="dxa"/>
                  <w:vAlign w:val="center"/>
                </w:tcPr>
                <w:p w:rsidR="000D1D74" w:rsidRPr="000D1D74" w:rsidRDefault="000D1D74" w:rsidP="000D1D74">
                  <w:pPr>
                    <w:spacing w:before="0"/>
                    <w:jc w:val="center"/>
                    <w:rPr>
                      <w:rFonts w:cs="Arial"/>
                      <w:sz w:val="18"/>
                    </w:rPr>
                  </w:pPr>
                  <w:r w:rsidRPr="000D1D74">
                    <w:rPr>
                      <w:rFonts w:cs="Arial"/>
                      <w:sz w:val="18"/>
                    </w:rPr>
                    <w:t>8-13</w:t>
                  </w:r>
                </w:p>
                <w:p w:rsidR="000D1D74" w:rsidRPr="000D1D74" w:rsidRDefault="000D1D74" w:rsidP="000D1D74">
                  <w:pPr>
                    <w:spacing w:before="0"/>
                    <w:jc w:val="center"/>
                    <w:rPr>
                      <w:rFonts w:cs="Arial"/>
                      <w:sz w:val="18"/>
                    </w:rPr>
                  </w:pPr>
                  <w:r w:rsidRPr="000D1D74">
                    <w:rPr>
                      <w:rFonts w:cs="Arial"/>
                      <w:sz w:val="18"/>
                    </w:rPr>
                    <w:t>14-18</w:t>
                  </w:r>
                </w:p>
              </w:tc>
              <w:tc>
                <w:tcPr>
                  <w:tcW w:w="1314" w:type="dxa"/>
                  <w:vAlign w:val="center"/>
                </w:tcPr>
                <w:p w:rsidR="000D1D74" w:rsidRPr="000D1D74" w:rsidRDefault="000D1D74" w:rsidP="000D1D74">
                  <w:pPr>
                    <w:spacing w:before="0"/>
                    <w:jc w:val="center"/>
                    <w:rPr>
                      <w:rFonts w:cs="Arial"/>
                      <w:sz w:val="18"/>
                    </w:rPr>
                  </w:pPr>
                  <w:r w:rsidRPr="000D1D74">
                    <w:rPr>
                      <w:rFonts w:cs="Arial"/>
                      <w:sz w:val="18"/>
                    </w:rPr>
                    <w:t>8-13</w:t>
                  </w:r>
                </w:p>
                <w:p w:rsidR="000D1D74" w:rsidRPr="000D1D74" w:rsidRDefault="000D1D74" w:rsidP="000D1D74">
                  <w:pPr>
                    <w:spacing w:before="0"/>
                    <w:jc w:val="center"/>
                    <w:rPr>
                      <w:rFonts w:cs="Arial"/>
                      <w:sz w:val="18"/>
                    </w:rPr>
                  </w:pPr>
                  <w:r w:rsidRPr="000D1D74">
                    <w:rPr>
                      <w:rFonts w:cs="Arial"/>
                      <w:sz w:val="18"/>
                    </w:rPr>
                    <w:t>-</w:t>
                  </w:r>
                </w:p>
              </w:tc>
              <w:tc>
                <w:tcPr>
                  <w:tcW w:w="1315" w:type="dxa"/>
                  <w:vAlign w:val="center"/>
                </w:tcPr>
                <w:p w:rsidR="000D1D74" w:rsidRPr="000D1D74" w:rsidRDefault="000D1D74" w:rsidP="000D1D74">
                  <w:pPr>
                    <w:spacing w:before="0"/>
                    <w:jc w:val="center"/>
                    <w:rPr>
                      <w:rFonts w:cs="Arial"/>
                      <w:sz w:val="18"/>
                    </w:rPr>
                  </w:pPr>
                  <w:r w:rsidRPr="000D1D74">
                    <w:rPr>
                      <w:rFonts w:cs="Arial"/>
                      <w:sz w:val="18"/>
                    </w:rPr>
                    <w:t>8-13</w:t>
                  </w:r>
                </w:p>
                <w:p w:rsidR="000D1D74" w:rsidRPr="000D1D74" w:rsidRDefault="000D1D74" w:rsidP="000D1D74">
                  <w:pPr>
                    <w:spacing w:before="0"/>
                    <w:jc w:val="center"/>
                    <w:rPr>
                      <w:rFonts w:cs="Arial"/>
                      <w:sz w:val="18"/>
                    </w:rPr>
                  </w:pPr>
                  <w:r w:rsidRPr="000D1D74">
                    <w:rPr>
                      <w:rFonts w:cs="Arial"/>
                      <w:sz w:val="18"/>
                    </w:rPr>
                    <w:t>14-18</w:t>
                  </w:r>
                </w:p>
              </w:tc>
              <w:tc>
                <w:tcPr>
                  <w:tcW w:w="1315" w:type="dxa"/>
                  <w:vAlign w:val="center"/>
                </w:tcPr>
                <w:p w:rsidR="000D1D74" w:rsidRPr="000D1D74" w:rsidRDefault="000D1D74" w:rsidP="000D1D74">
                  <w:pPr>
                    <w:spacing w:before="0"/>
                    <w:jc w:val="center"/>
                    <w:rPr>
                      <w:rFonts w:cs="Arial"/>
                      <w:sz w:val="18"/>
                    </w:rPr>
                  </w:pPr>
                  <w:r w:rsidRPr="000D1D74">
                    <w:rPr>
                      <w:rFonts w:cs="Arial"/>
                      <w:sz w:val="18"/>
                    </w:rPr>
                    <w:t>8-13</w:t>
                  </w:r>
                </w:p>
                <w:p w:rsidR="000D1D74" w:rsidRPr="000D1D74" w:rsidRDefault="000D1D74" w:rsidP="000D1D74">
                  <w:pPr>
                    <w:spacing w:before="0"/>
                    <w:jc w:val="center"/>
                    <w:rPr>
                      <w:rFonts w:cs="Arial"/>
                      <w:sz w:val="18"/>
                    </w:rPr>
                  </w:pPr>
                  <w:r w:rsidRPr="000D1D74">
                    <w:rPr>
                      <w:rFonts w:cs="Arial"/>
                      <w:sz w:val="18"/>
                    </w:rPr>
                    <w:t>14-18</w:t>
                  </w:r>
                </w:p>
              </w:tc>
              <w:tc>
                <w:tcPr>
                  <w:tcW w:w="1315" w:type="dxa"/>
                  <w:vAlign w:val="center"/>
                </w:tcPr>
                <w:p w:rsidR="000D1D74" w:rsidRPr="000D1D74" w:rsidRDefault="000D1D74" w:rsidP="000D1D74">
                  <w:pPr>
                    <w:spacing w:before="0"/>
                    <w:jc w:val="center"/>
                    <w:rPr>
                      <w:rFonts w:cs="Arial"/>
                      <w:sz w:val="18"/>
                    </w:rPr>
                  </w:pPr>
                  <w:r w:rsidRPr="000D1D74">
                    <w:rPr>
                      <w:rFonts w:cs="Arial"/>
                      <w:sz w:val="18"/>
                    </w:rPr>
                    <w:t>-</w:t>
                  </w:r>
                </w:p>
                <w:p w:rsidR="000D1D74" w:rsidRPr="000D1D74" w:rsidRDefault="000D1D74" w:rsidP="000D1D74">
                  <w:pPr>
                    <w:spacing w:before="0"/>
                    <w:jc w:val="center"/>
                    <w:rPr>
                      <w:rFonts w:cs="Arial"/>
                      <w:sz w:val="18"/>
                    </w:rPr>
                  </w:pPr>
                  <w:r w:rsidRPr="000D1D74">
                    <w:rPr>
                      <w:rFonts w:cs="Arial"/>
                      <w:sz w:val="18"/>
                    </w:rPr>
                    <w:t>-</w:t>
                  </w:r>
                </w:p>
              </w:tc>
            </w:tr>
          </w:tbl>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18"/>
              </w:rPr>
              <w:t xml:space="preserve">Program je celoroční. </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Ostatní (např. požadavek na dotační prostředky v roce 2014 od Velkého Meziříčí)</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Finanční dotace: </w:t>
            </w:r>
          </w:p>
          <w:p w:rsidR="000D1D74" w:rsidRPr="000D1D74" w:rsidRDefault="000D1D74" w:rsidP="000D1D74">
            <w:pPr>
              <w:numPr>
                <w:ilvl w:val="0"/>
                <w:numId w:val="24"/>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Současný stav: 250.000,- Kč nedostatečný</w:t>
            </w:r>
          </w:p>
          <w:p w:rsidR="000D1D74" w:rsidRPr="000D1D74" w:rsidRDefault="000D1D74" w:rsidP="000D1D74">
            <w:pPr>
              <w:numPr>
                <w:ilvl w:val="0"/>
                <w:numId w:val="24"/>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Stav potřebný:  350.000,- Kč</w:t>
            </w:r>
          </w:p>
        </w:tc>
      </w:tr>
    </w:tbl>
    <w:p w:rsidR="00B12BE4" w:rsidRPr="00677F33" w:rsidRDefault="00B12BE4" w:rsidP="00677F33"/>
    <w:p w:rsidR="000D1D74" w:rsidRDefault="000D1D74">
      <w:pPr>
        <w:spacing w:before="0" w:after="200" w:line="276" w:lineRule="auto"/>
        <w:jc w:val="left"/>
        <w:rPr>
          <w:rFonts w:eastAsiaTheme="majorEastAsia" w:cstheme="majorBidi"/>
          <w:b/>
          <w:bCs/>
          <w:sz w:val="28"/>
        </w:rPr>
      </w:pPr>
      <w:r>
        <w:br w:type="page"/>
      </w:r>
    </w:p>
    <w:p w:rsidR="009D1A00" w:rsidRPr="00DD261D" w:rsidRDefault="009D1A00" w:rsidP="00996CAC">
      <w:pPr>
        <w:pStyle w:val="Nadpis4"/>
      </w:pPr>
      <w:bookmarkStart w:id="67" w:name="_Toc367278163"/>
      <w:r w:rsidRPr="00DD261D">
        <w:t>Klub v 9 - centrum služeb pro podporu duševního zdraví</w:t>
      </w:r>
      <w:bookmarkEnd w:id="67"/>
    </w:p>
    <w:p w:rsidR="008E552B" w:rsidRPr="008E552B" w:rsidRDefault="008E552B" w:rsidP="008E552B">
      <w:r>
        <w:t>Klub v 9 – centrum služeb pro podporu duševního zdraví je zařízením Oblastní charity Žďár nad Sázavou pro dospělé lidi s duševním onemocněním. Jeho posláním je pomoc při osamostatnění a seberealizaci uživa</w:t>
      </w:r>
      <w:r w:rsidR="00B47555">
        <w:t>tele. Služba podporuje nácvik a </w:t>
      </w:r>
      <w:r>
        <w:t xml:space="preserve">rozvoj schopností a </w:t>
      </w:r>
      <w:r w:rsidR="002E34F8">
        <w:t>dovedností vedoucích k začlenění</w:t>
      </w:r>
      <w:r>
        <w:t xml:space="preserve"> do jeho přirozeného prostředí.</w:t>
      </w:r>
    </w:p>
    <w:p w:rsidR="000D1D74" w:rsidRPr="000D1D74" w:rsidRDefault="000D1D74" w:rsidP="000D1D74"/>
    <w:p w:rsidR="002E34F8" w:rsidRPr="002E34F8" w:rsidRDefault="002E34F8" w:rsidP="002E34F8">
      <w:pPr>
        <w:pStyle w:val="Titulek"/>
        <w:keepNext/>
        <w:rPr>
          <w:b w:val="0"/>
        </w:rPr>
      </w:pPr>
      <w:bookmarkStart w:id="68" w:name="_Toc367794866"/>
      <w:r>
        <w:t xml:space="preserve">Tabulka č. </w:t>
      </w:r>
      <w:r w:rsidR="00EE3646">
        <w:fldChar w:fldCharType="begin"/>
      </w:r>
      <w:r w:rsidR="00EE3646">
        <w:instrText xml:space="preserve"> SEQ Tabulka_č. \* ARABIC </w:instrText>
      </w:r>
      <w:r w:rsidR="00EE3646">
        <w:fldChar w:fldCharType="separate"/>
      </w:r>
      <w:r w:rsidR="00594151">
        <w:rPr>
          <w:noProof/>
        </w:rPr>
        <w:t>22</w:t>
      </w:r>
      <w:r w:rsidR="00EE3646">
        <w:rPr>
          <w:noProof/>
        </w:rPr>
        <w:fldChar w:fldCharType="end"/>
      </w:r>
      <w:r>
        <w:t xml:space="preserve">: </w:t>
      </w:r>
      <w:r>
        <w:rPr>
          <w:b w:val="0"/>
        </w:rPr>
        <w:t>Klub v 9 - centrum služeb pro podporu duševního zdraví</w:t>
      </w:r>
      <w:bookmarkEnd w:id="68"/>
    </w:p>
    <w:tbl>
      <w:tblPr>
        <w:tblStyle w:val="Stednmka1zvraznn11"/>
        <w:tblW w:w="0" w:type="auto"/>
        <w:tblLook w:val="04A0" w:firstRow="1" w:lastRow="0" w:firstColumn="1" w:lastColumn="0" w:noHBand="0" w:noVBand="1"/>
      </w:tblPr>
      <w:tblGrid>
        <w:gridCol w:w="2376"/>
        <w:gridCol w:w="6804"/>
      </w:tblGrid>
      <w:tr w:rsidR="000D1D74" w:rsidRPr="000D1D74" w:rsidTr="00AE1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Název</w:t>
            </w:r>
          </w:p>
        </w:tc>
        <w:tc>
          <w:tcPr>
            <w:tcW w:w="6804" w:type="dxa"/>
          </w:tcPr>
          <w:p w:rsidR="000D1D74" w:rsidRPr="000D1D74" w:rsidRDefault="000D1D74" w:rsidP="000D1D74">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Klub v 9 - centrum služeb pro podporu duševního zdraví</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Adresa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Okružní 1</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591 01 Žďár nad Sázavou</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Kontakt</w:t>
            </w:r>
          </w:p>
        </w:tc>
        <w:tc>
          <w:tcPr>
            <w:tcW w:w="6804" w:type="dxa"/>
            <w:vAlign w:val="center"/>
          </w:tcPr>
          <w:p w:rsidR="000D1D74" w:rsidRPr="000D1D74" w:rsidRDefault="000D1D74" w:rsidP="000D1D74">
            <w:pPr>
              <w:numPr>
                <w:ilvl w:val="0"/>
                <w:numId w:val="26"/>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Bc. Ivana Ptáčková - vedoucí zařízení, 566 629 319, 777 756 410, 731 646 773, </w:t>
            </w:r>
            <w:hyperlink r:id="rId55" w:history="1">
              <w:r w:rsidRPr="000D1D74">
                <w:rPr>
                  <w:rFonts w:cs="Arial"/>
                  <w:color w:val="0000FF" w:themeColor="hyperlink"/>
                  <w:sz w:val="22"/>
                  <w:u w:val="single"/>
                </w:rPr>
                <w:t>klubv9.zdar@charita.cz</w:t>
              </w:r>
            </w:hyperlink>
            <w:r w:rsidRPr="000D1D74">
              <w:rPr>
                <w:rFonts w:cs="Arial"/>
                <w:sz w:val="22"/>
              </w:rPr>
              <w:t xml:space="preserve"> </w:t>
            </w:r>
          </w:p>
          <w:p w:rsidR="000D1D74" w:rsidRPr="000D1D74" w:rsidRDefault="000D1D74" w:rsidP="000D1D74">
            <w:pPr>
              <w:numPr>
                <w:ilvl w:val="0"/>
                <w:numId w:val="26"/>
              </w:numPr>
              <w:spacing w:before="0"/>
              <w:contextualSpacing/>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Bc. Dagmar Bílková-zástupce vedoucí, 731 646 970, </w:t>
            </w:r>
            <w:hyperlink r:id="rId56" w:history="1">
              <w:r w:rsidRPr="000D1D74">
                <w:rPr>
                  <w:rFonts w:cs="Arial"/>
                  <w:color w:val="0000FF" w:themeColor="hyperlink"/>
                  <w:sz w:val="22"/>
                  <w:u w:val="single"/>
                </w:rPr>
                <w:t>dagmar.bilkova@charita.cz</w:t>
              </w:r>
            </w:hyperlink>
            <w:r w:rsidRPr="000D1D74">
              <w:rPr>
                <w:rFonts w:cs="Arial"/>
                <w:sz w:val="22"/>
              </w:rPr>
              <w:t xml:space="preserve"> </w:t>
            </w:r>
          </w:p>
          <w:p w:rsidR="000D1D74" w:rsidRPr="000D1D74" w:rsidRDefault="000D1D74" w:rsidP="000D1D74">
            <w:pPr>
              <w:spacing w:before="0"/>
              <w:ind w:left="36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webové stránky: </w:t>
            </w:r>
            <w:hyperlink r:id="rId57" w:history="1">
              <w:r w:rsidRPr="000D1D74">
                <w:rPr>
                  <w:rFonts w:cs="Arial"/>
                  <w:color w:val="0000FF" w:themeColor="hyperlink"/>
                  <w:sz w:val="22"/>
                  <w:u w:val="single"/>
                </w:rPr>
                <w:t>www.zdar.charita.cz</w:t>
              </w:r>
            </w:hyperlink>
            <w:r w:rsidRPr="000D1D74">
              <w:rPr>
                <w:rFonts w:cs="Arial"/>
                <w:sz w:val="22"/>
              </w:rPr>
              <w:t xml:space="preserve">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Druh sociální služby</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Sociální rehabilitace (ambulantní a terénní forma)</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Forma poskytování sociální služby</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Ambulantní</w:t>
            </w:r>
          </w:p>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Terénní</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Cílová skupina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 xml:space="preserve">Osoby s duševním onemocněním, popř. kombinace lehkého mentálního postižení a duševního onemocnění. </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Věková struktura</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18 - 64 let</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Počet osob na území města Velké Meziříčí (stav k 31. 7. 2013)</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4 osoby v terénní službě (1 osoba Velké Meziříčí, 3 osoby okolní obce)</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Výhled do budoucna ve vztahu k poskytování sociálních služeb na území města Velké Meziříčí</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Klub v 9 je do 31. 12. 2014 financovaný z prostředků ESF ČR.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Provozní doba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 xml:space="preserve">Terénní služba je poskytována na území okresu Žďár nad Sázavou, včetně města Velkého Meziříčí a jeho okolních obcí: </w:t>
            </w:r>
          </w:p>
          <w:p w:rsidR="000D1D74" w:rsidRPr="000D1D74" w:rsidRDefault="000D1D74" w:rsidP="000D1D74">
            <w:pPr>
              <w:numPr>
                <w:ilvl w:val="0"/>
                <w:numId w:val="27"/>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Po - Čt 8-16</w:t>
            </w:r>
          </w:p>
          <w:p w:rsidR="000D1D74" w:rsidRPr="000D1D74" w:rsidRDefault="000D1D74" w:rsidP="000D1D74">
            <w:pPr>
              <w:numPr>
                <w:ilvl w:val="0"/>
                <w:numId w:val="27"/>
              </w:num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Pá 8,30-13</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 xml:space="preserve">Ambulantní služba je poskytována na pobočkách ve Žďáře nad Sázavou a v Bystřici nad Pernštejnem. </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Ostatní (např. požadavek na dotační prostředky v roce 2014 od Velkého Meziříčí)</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Na provoz a rozvoj služby budeme od 1. 1. 2015 žádat od města Velké Meziříčí částku 30.000,- Kč. </w:t>
            </w:r>
          </w:p>
        </w:tc>
      </w:tr>
    </w:tbl>
    <w:p w:rsidR="000D1D74" w:rsidRPr="000D1D74" w:rsidRDefault="000D1D74" w:rsidP="000D1D74"/>
    <w:p w:rsidR="000D1D74" w:rsidRDefault="000D1D74">
      <w:pPr>
        <w:spacing w:before="0" w:after="200" w:line="276" w:lineRule="auto"/>
        <w:jc w:val="left"/>
        <w:rPr>
          <w:rFonts w:eastAsiaTheme="majorEastAsia" w:cstheme="majorBidi"/>
          <w:b/>
          <w:bCs/>
          <w:sz w:val="28"/>
        </w:rPr>
      </w:pPr>
      <w:r>
        <w:br w:type="page"/>
      </w:r>
    </w:p>
    <w:p w:rsidR="009D1A00" w:rsidRPr="00DD261D" w:rsidRDefault="009D1A00" w:rsidP="00996CAC">
      <w:pPr>
        <w:pStyle w:val="Nadpis4"/>
      </w:pPr>
      <w:bookmarkStart w:id="69" w:name="_Toc367278164"/>
      <w:r w:rsidRPr="00DD261D">
        <w:t>Sociálně aktivizační služby pro rodiny s dětmi Žďár nad Sázavou</w:t>
      </w:r>
      <w:bookmarkEnd w:id="69"/>
    </w:p>
    <w:p w:rsidR="008E552B" w:rsidRPr="008E552B" w:rsidRDefault="008E552B" w:rsidP="008E552B">
      <w:r>
        <w:t>Sociálně aktivizační služby pro rodiny s dětmi jsou zařízením Oblastní charity Žďár nad Sázavou. Jeho posláním je pomoc a podpora rodinám s dětmi, jejichž vývoj j</w:t>
      </w:r>
      <w:r w:rsidR="00D36CB3">
        <w:t xml:space="preserve">e ohrožen v důsledku dlouhodobě </w:t>
      </w:r>
      <w:r>
        <w:t>nepříznivé sociální situace, kterou rodiny nedokáží samy překonat.</w:t>
      </w:r>
    </w:p>
    <w:p w:rsidR="000D1D74" w:rsidRPr="000D1D74" w:rsidRDefault="000D1D74" w:rsidP="000D1D74"/>
    <w:p w:rsidR="002E34F8" w:rsidRPr="002E34F8" w:rsidRDefault="002E34F8" w:rsidP="002E34F8">
      <w:pPr>
        <w:pStyle w:val="Titulek"/>
        <w:keepNext/>
        <w:rPr>
          <w:b w:val="0"/>
        </w:rPr>
      </w:pPr>
      <w:bookmarkStart w:id="70" w:name="_Toc367794867"/>
      <w:r>
        <w:t xml:space="preserve">Tabulka č. </w:t>
      </w:r>
      <w:r w:rsidR="00EE3646">
        <w:fldChar w:fldCharType="begin"/>
      </w:r>
      <w:r w:rsidR="00EE3646">
        <w:instrText xml:space="preserve"> SEQ Tabulka_č. \* ARABIC </w:instrText>
      </w:r>
      <w:r w:rsidR="00EE3646">
        <w:fldChar w:fldCharType="separate"/>
      </w:r>
      <w:r w:rsidR="00594151">
        <w:rPr>
          <w:noProof/>
        </w:rPr>
        <w:t>23</w:t>
      </w:r>
      <w:r w:rsidR="00EE3646">
        <w:rPr>
          <w:noProof/>
        </w:rPr>
        <w:fldChar w:fldCharType="end"/>
      </w:r>
      <w:r>
        <w:t xml:space="preserve">: </w:t>
      </w:r>
      <w:r>
        <w:rPr>
          <w:b w:val="0"/>
        </w:rPr>
        <w:t>Sociálně aktivizační služby pro rodiny s dětmi Žďár nad Sázavou</w:t>
      </w:r>
      <w:bookmarkEnd w:id="70"/>
    </w:p>
    <w:tbl>
      <w:tblPr>
        <w:tblStyle w:val="Stednmka1zvraznn51"/>
        <w:tblW w:w="0" w:type="auto"/>
        <w:tblLook w:val="04A0" w:firstRow="1" w:lastRow="0" w:firstColumn="1" w:lastColumn="0" w:noHBand="0" w:noVBand="1"/>
      </w:tblPr>
      <w:tblGrid>
        <w:gridCol w:w="2376"/>
        <w:gridCol w:w="6804"/>
      </w:tblGrid>
      <w:tr w:rsidR="000D1D74" w:rsidRPr="000D1D74" w:rsidTr="00AE1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Název</w:t>
            </w:r>
          </w:p>
        </w:tc>
        <w:tc>
          <w:tcPr>
            <w:tcW w:w="6804" w:type="dxa"/>
          </w:tcPr>
          <w:p w:rsidR="000D1D74" w:rsidRPr="000D1D74" w:rsidRDefault="000D1D74" w:rsidP="000D1D74">
            <w:pPr>
              <w:spacing w:before="0"/>
              <w:jc w:val="center"/>
              <w:cnfStyle w:val="100000000000" w:firstRow="1" w:lastRow="0" w:firstColumn="0" w:lastColumn="0" w:oddVBand="0" w:evenVBand="0" w:oddHBand="0" w:evenHBand="0" w:firstRowFirstColumn="0" w:firstRowLastColumn="0" w:lastRowFirstColumn="0" w:lastRowLastColumn="0"/>
              <w:rPr>
                <w:rFonts w:cs="Arial"/>
                <w:sz w:val="28"/>
              </w:rPr>
            </w:pPr>
            <w:r w:rsidRPr="00DD261D">
              <w:rPr>
                <w:rFonts w:cs="Arial"/>
              </w:rPr>
              <w:t>Sociálně aktivizační služby pro rodiny s dětmi Žďár nad Sázavou</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Adresa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Horní 22</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591 01 Žďár nad Sázavou</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Kontakt</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Mgr. Kateřina Šouláková - vedoucí zařízení, 733 741 566, </w:t>
            </w:r>
            <w:hyperlink r:id="rId58" w:history="1">
              <w:r w:rsidRPr="000D1D74">
                <w:rPr>
                  <w:rFonts w:cs="Arial"/>
                  <w:color w:val="0000FF" w:themeColor="hyperlink"/>
                  <w:sz w:val="22"/>
                  <w:u w:val="single"/>
                </w:rPr>
                <w:t>katerina.soulakova@charita.cz</w:t>
              </w:r>
            </w:hyperlink>
            <w:r w:rsidRPr="000D1D74">
              <w:rPr>
                <w:rFonts w:cs="Arial"/>
                <w:sz w:val="22"/>
              </w:rPr>
              <w:t xml:space="preserve">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Druh sociální služby</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Sociálně aktivizační služby pro rodiny s dětmi</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Forma poskytování sociální služby</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Terénní (nejčastěji poskytována v domácnostech uživatelů).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Cílová skupina</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 xml:space="preserve">Rodiny s dětmi v dlouhodobě nepříznivé sociální situaci nebo ohrožené rizikových způsobem života žijící na okrese Žďár nad Sázavou. </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Věková struktura</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Služba nemá věkové omezení (momentální stav se pohybuje mezi 1 - 78 lety).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Počet osob na území města Velké Meziříčí (stav k 31. 7. 2013)</w:t>
            </w:r>
          </w:p>
        </w:tc>
        <w:tc>
          <w:tcPr>
            <w:tcW w:w="6804"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10</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(maximální okamžitá kapacita služby: 3 rodiny)</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Výhled do budoucna ve vztahu k poskytování sociálních služeb na území města Velké Meziříčí</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Sociální služba úzce spolupracuje s orgánem sociálně právní ochrany dětí (OSPOD) Velké Meziř</w:t>
            </w:r>
            <w:r w:rsidR="00F0737E">
              <w:rPr>
                <w:rFonts w:cs="Arial"/>
                <w:sz w:val="22"/>
              </w:rPr>
              <w:t>íčí, pod který územně spadají i </w:t>
            </w:r>
            <w:r w:rsidRPr="000D1D74">
              <w:rPr>
                <w:rFonts w:cs="Arial"/>
                <w:sz w:val="22"/>
              </w:rPr>
              <w:t xml:space="preserve">další uživatelé služby. Celkem jde o 4 rodiny, do nichž byla sociální služba přizvána OSPOD ke spolupráci, tj. celkem dalších 12 osob, trvale nebo přechodně žijících v jeho správním obvodu. </w:t>
            </w:r>
          </w:p>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OSPOD Velké Meziříčí během celého roku aktivně žádá sociální službu o spolupráci ve vztahu k řešení nepříznivých situací v daných rodinách. </w:t>
            </w:r>
          </w:p>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Z výše uvedeného se dá usuzovat </w:t>
            </w:r>
            <w:r w:rsidR="00F0737E">
              <w:rPr>
                <w:rFonts w:cs="Arial"/>
                <w:sz w:val="22"/>
              </w:rPr>
              <w:t>na potřebnost sociální služby a </w:t>
            </w:r>
            <w:r w:rsidRPr="000D1D74">
              <w:rPr>
                <w:rFonts w:cs="Arial"/>
                <w:sz w:val="22"/>
              </w:rPr>
              <w:t xml:space="preserve">její efektivní fungování i v horizontu min. dalších 2-3 let.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Provozní doba</w:t>
            </w:r>
          </w:p>
        </w:tc>
        <w:tc>
          <w:tcPr>
            <w:tcW w:w="6804" w:type="dxa"/>
            <w:vAlign w:val="center"/>
          </w:tcPr>
          <w:tbl>
            <w:tblPr>
              <w:tblStyle w:val="Mkatabulky3"/>
              <w:tblW w:w="0" w:type="auto"/>
              <w:tblLook w:val="04A0" w:firstRow="1" w:lastRow="0" w:firstColumn="1" w:lastColumn="0" w:noHBand="0" w:noVBand="1"/>
            </w:tblPr>
            <w:tblGrid>
              <w:gridCol w:w="1314"/>
              <w:gridCol w:w="1408"/>
              <w:gridCol w:w="1221"/>
              <w:gridCol w:w="1315"/>
              <w:gridCol w:w="1315"/>
            </w:tblGrid>
            <w:tr w:rsidR="000D1D74" w:rsidRPr="000D1D74" w:rsidTr="00AE17C3">
              <w:tc>
                <w:tcPr>
                  <w:tcW w:w="1314" w:type="dxa"/>
                  <w:vAlign w:val="center"/>
                </w:tcPr>
                <w:p w:rsidR="000D1D74" w:rsidRPr="000D1D74" w:rsidRDefault="000D1D74" w:rsidP="000D1D74">
                  <w:pPr>
                    <w:spacing w:before="0"/>
                    <w:jc w:val="center"/>
                    <w:rPr>
                      <w:rFonts w:cs="Arial"/>
                      <w:sz w:val="20"/>
                    </w:rPr>
                  </w:pPr>
                  <w:r w:rsidRPr="000D1D74">
                    <w:rPr>
                      <w:rFonts w:cs="Arial"/>
                      <w:sz w:val="20"/>
                    </w:rPr>
                    <w:t>pondělí</w:t>
                  </w:r>
                </w:p>
              </w:tc>
              <w:tc>
                <w:tcPr>
                  <w:tcW w:w="1408" w:type="dxa"/>
                  <w:vAlign w:val="center"/>
                </w:tcPr>
                <w:p w:rsidR="000D1D74" w:rsidRPr="000D1D74" w:rsidRDefault="000D1D74" w:rsidP="000D1D74">
                  <w:pPr>
                    <w:spacing w:before="0"/>
                    <w:jc w:val="center"/>
                    <w:rPr>
                      <w:rFonts w:cs="Arial"/>
                      <w:sz w:val="20"/>
                    </w:rPr>
                  </w:pPr>
                  <w:r w:rsidRPr="000D1D74">
                    <w:rPr>
                      <w:rFonts w:cs="Arial"/>
                      <w:sz w:val="20"/>
                    </w:rPr>
                    <w:t>úterý</w:t>
                  </w:r>
                </w:p>
              </w:tc>
              <w:tc>
                <w:tcPr>
                  <w:tcW w:w="1221" w:type="dxa"/>
                  <w:vAlign w:val="center"/>
                </w:tcPr>
                <w:p w:rsidR="000D1D74" w:rsidRPr="000D1D74" w:rsidRDefault="000D1D74" w:rsidP="000D1D74">
                  <w:pPr>
                    <w:spacing w:before="0"/>
                    <w:jc w:val="center"/>
                    <w:rPr>
                      <w:rFonts w:cs="Arial"/>
                      <w:sz w:val="20"/>
                    </w:rPr>
                  </w:pPr>
                  <w:r w:rsidRPr="000D1D74">
                    <w:rPr>
                      <w:rFonts w:cs="Arial"/>
                      <w:sz w:val="20"/>
                    </w:rPr>
                    <w:t>středa</w:t>
                  </w:r>
                </w:p>
              </w:tc>
              <w:tc>
                <w:tcPr>
                  <w:tcW w:w="1315" w:type="dxa"/>
                  <w:vAlign w:val="center"/>
                </w:tcPr>
                <w:p w:rsidR="000D1D74" w:rsidRPr="000D1D74" w:rsidRDefault="000D1D74" w:rsidP="000D1D74">
                  <w:pPr>
                    <w:spacing w:before="0"/>
                    <w:jc w:val="center"/>
                    <w:rPr>
                      <w:rFonts w:cs="Arial"/>
                      <w:sz w:val="20"/>
                    </w:rPr>
                  </w:pPr>
                  <w:r w:rsidRPr="000D1D74">
                    <w:rPr>
                      <w:rFonts w:cs="Arial"/>
                      <w:sz w:val="20"/>
                    </w:rPr>
                    <w:t>čtvrtek</w:t>
                  </w:r>
                </w:p>
              </w:tc>
              <w:tc>
                <w:tcPr>
                  <w:tcW w:w="1315" w:type="dxa"/>
                  <w:vAlign w:val="center"/>
                </w:tcPr>
                <w:p w:rsidR="000D1D74" w:rsidRPr="000D1D74" w:rsidRDefault="000D1D74" w:rsidP="000D1D74">
                  <w:pPr>
                    <w:spacing w:before="0"/>
                    <w:jc w:val="center"/>
                    <w:rPr>
                      <w:rFonts w:cs="Arial"/>
                      <w:sz w:val="20"/>
                    </w:rPr>
                  </w:pPr>
                  <w:r w:rsidRPr="000D1D74">
                    <w:rPr>
                      <w:rFonts w:cs="Arial"/>
                      <w:sz w:val="20"/>
                    </w:rPr>
                    <w:t>pátek</w:t>
                  </w:r>
                </w:p>
              </w:tc>
            </w:tr>
            <w:tr w:rsidR="000D1D74" w:rsidRPr="000D1D74" w:rsidTr="00AE17C3">
              <w:tc>
                <w:tcPr>
                  <w:tcW w:w="1314" w:type="dxa"/>
                  <w:vAlign w:val="center"/>
                </w:tcPr>
                <w:p w:rsidR="000D1D74" w:rsidRPr="000D1D74" w:rsidRDefault="000D1D74" w:rsidP="000D1D74">
                  <w:pPr>
                    <w:spacing w:before="0"/>
                    <w:jc w:val="center"/>
                    <w:rPr>
                      <w:rFonts w:cs="Arial"/>
                      <w:sz w:val="20"/>
                    </w:rPr>
                  </w:pPr>
                  <w:r w:rsidRPr="000D1D74">
                    <w:rPr>
                      <w:rFonts w:cs="Arial"/>
                      <w:sz w:val="20"/>
                    </w:rPr>
                    <w:t>12 - 17</w:t>
                  </w:r>
                </w:p>
              </w:tc>
              <w:tc>
                <w:tcPr>
                  <w:tcW w:w="1408" w:type="dxa"/>
                  <w:vAlign w:val="center"/>
                </w:tcPr>
                <w:p w:rsidR="000D1D74" w:rsidRPr="000D1D74" w:rsidRDefault="000D1D74" w:rsidP="000D1D74">
                  <w:pPr>
                    <w:spacing w:before="0"/>
                    <w:jc w:val="center"/>
                    <w:rPr>
                      <w:rFonts w:cs="Arial"/>
                      <w:sz w:val="20"/>
                    </w:rPr>
                  </w:pPr>
                  <w:r w:rsidRPr="000D1D74">
                    <w:rPr>
                      <w:rFonts w:cs="Arial"/>
                      <w:sz w:val="20"/>
                    </w:rPr>
                    <w:t>10,30 - 16,30</w:t>
                  </w:r>
                </w:p>
              </w:tc>
              <w:tc>
                <w:tcPr>
                  <w:tcW w:w="1221" w:type="dxa"/>
                  <w:vAlign w:val="center"/>
                </w:tcPr>
                <w:p w:rsidR="000D1D74" w:rsidRPr="000D1D74" w:rsidRDefault="000D1D74" w:rsidP="000D1D74">
                  <w:pPr>
                    <w:spacing w:before="0"/>
                    <w:jc w:val="center"/>
                    <w:rPr>
                      <w:rFonts w:cs="Arial"/>
                      <w:sz w:val="20"/>
                    </w:rPr>
                  </w:pPr>
                  <w:r w:rsidRPr="000D1D74">
                    <w:rPr>
                      <w:rFonts w:cs="Arial"/>
                      <w:sz w:val="20"/>
                    </w:rPr>
                    <w:t>9 - 17</w:t>
                  </w:r>
                </w:p>
              </w:tc>
              <w:tc>
                <w:tcPr>
                  <w:tcW w:w="1315" w:type="dxa"/>
                  <w:vAlign w:val="center"/>
                </w:tcPr>
                <w:p w:rsidR="000D1D74" w:rsidRPr="000D1D74" w:rsidRDefault="000D1D74" w:rsidP="000D1D74">
                  <w:pPr>
                    <w:spacing w:before="0"/>
                    <w:jc w:val="center"/>
                    <w:rPr>
                      <w:rFonts w:cs="Arial"/>
                      <w:sz w:val="20"/>
                    </w:rPr>
                  </w:pPr>
                  <w:r w:rsidRPr="000D1D74">
                    <w:rPr>
                      <w:rFonts w:cs="Arial"/>
                      <w:sz w:val="20"/>
                    </w:rPr>
                    <w:t>9 - 16</w:t>
                  </w:r>
                </w:p>
              </w:tc>
              <w:tc>
                <w:tcPr>
                  <w:tcW w:w="1315" w:type="dxa"/>
                  <w:vAlign w:val="center"/>
                </w:tcPr>
                <w:p w:rsidR="000D1D74" w:rsidRPr="000D1D74" w:rsidRDefault="000D1D74" w:rsidP="000D1D74">
                  <w:pPr>
                    <w:spacing w:before="0"/>
                    <w:jc w:val="center"/>
                    <w:rPr>
                      <w:rFonts w:cs="Arial"/>
                      <w:sz w:val="20"/>
                    </w:rPr>
                  </w:pPr>
                  <w:r w:rsidRPr="000D1D74">
                    <w:rPr>
                      <w:rFonts w:cs="Arial"/>
                      <w:sz w:val="20"/>
                    </w:rPr>
                    <w:t>9 - 11</w:t>
                  </w:r>
                </w:p>
              </w:tc>
            </w:tr>
          </w:tbl>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Ostatní (např. požadavek na dotační prostředky v roce 2014 od Velkého Meziříčí)</w:t>
            </w:r>
          </w:p>
        </w:tc>
        <w:tc>
          <w:tcPr>
            <w:tcW w:w="6804"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Požadovaná částka od města činí 150.000,- Kč. </w:t>
            </w:r>
          </w:p>
        </w:tc>
      </w:tr>
    </w:tbl>
    <w:p w:rsidR="002B6901" w:rsidRPr="00996CAC" w:rsidRDefault="002B6901" w:rsidP="00996CAC">
      <w:pPr>
        <w:pStyle w:val="Nadpis3"/>
        <w:numPr>
          <w:ilvl w:val="0"/>
          <w:numId w:val="0"/>
        </w:numPr>
        <w:jc w:val="both"/>
        <w:rPr>
          <w:rFonts w:eastAsiaTheme="minorHAnsi" w:cstheme="minorBidi"/>
          <w:b w:val="0"/>
          <w:bCs w:val="0"/>
          <w:i/>
        </w:rPr>
      </w:pPr>
    </w:p>
    <w:p w:rsidR="00D22F26" w:rsidRDefault="00D22F26">
      <w:pPr>
        <w:spacing w:before="0" w:after="200" w:line="276" w:lineRule="auto"/>
        <w:jc w:val="left"/>
        <w:rPr>
          <w:rFonts w:eastAsiaTheme="majorEastAsia" w:cstheme="majorBidi"/>
          <w:b/>
          <w:bCs/>
          <w:color w:val="FF0000"/>
          <w:szCs w:val="26"/>
        </w:rPr>
      </w:pPr>
      <w:r>
        <w:br w:type="page"/>
      </w:r>
    </w:p>
    <w:p w:rsidR="00AC7803" w:rsidRDefault="00AC7803" w:rsidP="00DD261D">
      <w:pPr>
        <w:pStyle w:val="Nadpis4"/>
        <w:numPr>
          <w:ilvl w:val="0"/>
          <w:numId w:val="32"/>
        </w:numPr>
        <w:ind w:left="1418"/>
        <w:jc w:val="left"/>
      </w:pPr>
      <w:bookmarkStart w:id="71" w:name="_Toc367278165"/>
      <w:r>
        <w:t>Služby odborného sociálního poradenství</w:t>
      </w:r>
      <w:bookmarkEnd w:id="71"/>
    </w:p>
    <w:p w:rsidR="00D36CB3" w:rsidRPr="00D36CB3" w:rsidRDefault="00D36CB3" w:rsidP="00D36CB3"/>
    <w:p w:rsidR="00AC7803" w:rsidRDefault="00AC7803" w:rsidP="00996CAC">
      <w:pPr>
        <w:pStyle w:val="Nadpis4"/>
      </w:pPr>
      <w:bookmarkStart w:id="72" w:name="_Toc367278166"/>
      <w:r>
        <w:t>Občanská poradna Žďár nad Sázavou</w:t>
      </w:r>
      <w:bookmarkEnd w:id="72"/>
    </w:p>
    <w:p w:rsidR="00D36CB3" w:rsidRPr="00D36CB3" w:rsidRDefault="00D36CB3" w:rsidP="00D36CB3">
      <w:r>
        <w:t>P</w:t>
      </w:r>
      <w:r w:rsidRPr="00D36CB3">
        <w:t>osláním občanské poradny je poskytování rad, informací a pomoci lidem, kteří jsou v nepříznivé sociální situaci</w:t>
      </w:r>
      <w:r w:rsidR="000D1B33">
        <w:t>,</w:t>
      </w:r>
      <w:r w:rsidRPr="00D36CB3">
        <w:t xml:space="preserve"> nebo jim taková s</w:t>
      </w:r>
      <w:r w:rsidR="003E04A0">
        <w:t>ituace hrozí, neznají svá práva a </w:t>
      </w:r>
      <w:r w:rsidRPr="00D36CB3">
        <w:t xml:space="preserve">povinnosti, dostupné služby nebo nejsou schopni účinně vyjádřit své potřeby a hájit své oprávněné zájmy. Občanská poradna se podílí na činnosti Asociace občanských poraden a společně upozorňují příslušné státní a místní orgány na nedostatky legislativy a na neřešené problémy občanů ve </w:t>
      </w:r>
      <w:r w:rsidR="00B47555">
        <w:t>snaze ovlivnit vývoj politiky a </w:t>
      </w:r>
      <w:r w:rsidRPr="00D36CB3">
        <w:t>sociálních služeb.</w:t>
      </w:r>
    </w:p>
    <w:p w:rsidR="000D1D74" w:rsidRPr="000D1D74" w:rsidRDefault="000D1D74" w:rsidP="000D1D74"/>
    <w:p w:rsidR="002E34F8" w:rsidRPr="002E34F8" w:rsidRDefault="002E34F8" w:rsidP="002E34F8">
      <w:pPr>
        <w:pStyle w:val="Titulek"/>
        <w:keepNext/>
        <w:rPr>
          <w:b w:val="0"/>
        </w:rPr>
      </w:pPr>
      <w:bookmarkStart w:id="73" w:name="_Toc367794868"/>
      <w:r>
        <w:t xml:space="preserve">Tabulka č. </w:t>
      </w:r>
      <w:r w:rsidR="00EE3646">
        <w:fldChar w:fldCharType="begin"/>
      </w:r>
      <w:r w:rsidR="00EE3646">
        <w:instrText xml:space="preserve"> SEQ Tabulka_č. \* ARABIC </w:instrText>
      </w:r>
      <w:r w:rsidR="00EE3646">
        <w:fldChar w:fldCharType="separate"/>
      </w:r>
      <w:r w:rsidR="00594151">
        <w:rPr>
          <w:noProof/>
        </w:rPr>
        <w:t>24</w:t>
      </w:r>
      <w:r w:rsidR="00EE3646">
        <w:rPr>
          <w:noProof/>
        </w:rPr>
        <w:fldChar w:fldCharType="end"/>
      </w:r>
      <w:r>
        <w:t xml:space="preserve">: </w:t>
      </w:r>
      <w:r>
        <w:rPr>
          <w:b w:val="0"/>
        </w:rPr>
        <w:t>Občanská poradna Žďár nad Sázavou</w:t>
      </w:r>
      <w:bookmarkEnd w:id="73"/>
    </w:p>
    <w:tbl>
      <w:tblPr>
        <w:tblStyle w:val="Stednmka1zvraznn33"/>
        <w:tblW w:w="9212" w:type="dxa"/>
        <w:tblLook w:val="04A0" w:firstRow="1" w:lastRow="0" w:firstColumn="1" w:lastColumn="0" w:noHBand="0" w:noVBand="1"/>
      </w:tblPr>
      <w:tblGrid>
        <w:gridCol w:w="2376"/>
        <w:gridCol w:w="6836"/>
      </w:tblGrid>
      <w:tr w:rsidR="000D1D74" w:rsidRPr="000D1D74" w:rsidTr="00AE1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Název</w:t>
            </w:r>
          </w:p>
        </w:tc>
        <w:tc>
          <w:tcPr>
            <w:tcW w:w="6836" w:type="dxa"/>
          </w:tcPr>
          <w:p w:rsidR="000D1D74" w:rsidRPr="000D1D74" w:rsidRDefault="000D1D74" w:rsidP="000D1D74">
            <w:pPr>
              <w:spacing w:before="0"/>
              <w:jc w:val="center"/>
              <w:cnfStyle w:val="100000000000" w:firstRow="1" w:lastRow="0" w:firstColumn="0" w:lastColumn="0" w:oddVBand="0" w:evenVBand="0" w:oddHBand="0" w:evenHBand="0" w:firstRowFirstColumn="0" w:firstRowLastColumn="0" w:lastRowFirstColumn="0" w:lastRowLastColumn="0"/>
              <w:rPr>
                <w:rFonts w:cs="Arial"/>
                <w:sz w:val="32"/>
              </w:rPr>
            </w:pPr>
            <w:r w:rsidRPr="00DD261D">
              <w:rPr>
                <w:rFonts w:cs="Arial"/>
              </w:rPr>
              <w:t>Občanská poradna Žďár nad Sázavou</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Adresa</w:t>
            </w:r>
          </w:p>
        </w:tc>
        <w:tc>
          <w:tcPr>
            <w:tcW w:w="6836"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Dolní 165/1</w:t>
            </w:r>
          </w:p>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591 01 Žďár nad Sázavou</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Kontakt</w:t>
            </w:r>
          </w:p>
        </w:tc>
        <w:tc>
          <w:tcPr>
            <w:tcW w:w="6836"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JUDr. Dagmar Čížková - vedoucí a poradkyně zařízení, 566 520 165, </w:t>
            </w:r>
            <w:hyperlink r:id="rId59" w:history="1">
              <w:r w:rsidRPr="000D1D74">
                <w:rPr>
                  <w:rFonts w:cs="Arial"/>
                  <w:color w:val="0000FF" w:themeColor="hyperlink"/>
                  <w:sz w:val="22"/>
                  <w:u w:val="single"/>
                </w:rPr>
                <w:t>porzdar@seznam.cz</w:t>
              </w:r>
            </w:hyperlink>
            <w:r w:rsidRPr="000D1D74">
              <w:rPr>
                <w:rFonts w:cs="Arial"/>
                <w:sz w:val="22"/>
              </w:rPr>
              <w:t xml:space="preserve">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Druh sociální služby</w:t>
            </w:r>
          </w:p>
        </w:tc>
        <w:tc>
          <w:tcPr>
            <w:tcW w:w="6836"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Odborné sociální poradenství</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Forma poskytování sociální služby</w:t>
            </w:r>
          </w:p>
        </w:tc>
        <w:tc>
          <w:tcPr>
            <w:tcW w:w="6836"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Osobní návštěva, telefonicky, e-mail, dopis</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Cílová skupina</w:t>
            </w:r>
          </w:p>
        </w:tc>
        <w:tc>
          <w:tcPr>
            <w:tcW w:w="6836"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Osoby v krizi</w:t>
            </w:r>
          </w:p>
        </w:tc>
      </w:tr>
      <w:tr w:rsidR="000D1D74" w:rsidRPr="000D1D74" w:rsidTr="00AE17C3">
        <w:trPr>
          <w:trHeight w:val="782"/>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Věková struktura</w:t>
            </w:r>
          </w:p>
        </w:tc>
        <w:tc>
          <w:tcPr>
            <w:tcW w:w="6836"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Od 18 let</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Počet osob na území města Velké Meziříčí (stav k 31. 7. 2013)</w:t>
            </w:r>
          </w:p>
        </w:tc>
        <w:tc>
          <w:tcPr>
            <w:tcW w:w="6836"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cca 100</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Výhled do budoucna ve vztahu k poskytování sociálních služeb na území města Velké Meziříčí</w:t>
            </w:r>
          </w:p>
        </w:tc>
        <w:tc>
          <w:tcPr>
            <w:tcW w:w="6836"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JUDr. Dagmar Čížková působí jednou za 14 dní v Občanské poradně. </w:t>
            </w:r>
          </w:p>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 xml:space="preserve">V případě zájmu města bude provozovat činnost i v dalších letech. </w:t>
            </w:r>
          </w:p>
        </w:tc>
      </w:tr>
      <w:tr w:rsidR="000D1D74" w:rsidRPr="000D1D74" w:rsidTr="00AE1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Provozní doba</w:t>
            </w:r>
          </w:p>
        </w:tc>
        <w:tc>
          <w:tcPr>
            <w:tcW w:w="6836" w:type="dxa"/>
            <w:vAlign w:val="center"/>
          </w:tcPr>
          <w:p w:rsidR="000D1D74" w:rsidRPr="000D1D74" w:rsidRDefault="000D1D74" w:rsidP="000D1D74">
            <w:pPr>
              <w:spacing w:before="0"/>
              <w:jc w:val="left"/>
              <w:cnfStyle w:val="000000100000" w:firstRow="0" w:lastRow="0" w:firstColumn="0" w:lastColumn="0" w:oddVBand="0" w:evenVBand="0" w:oddHBand="1" w:evenHBand="0" w:firstRowFirstColumn="0" w:firstRowLastColumn="0" w:lastRowFirstColumn="0" w:lastRowLastColumn="0"/>
              <w:rPr>
                <w:rFonts w:cs="Arial"/>
                <w:sz w:val="22"/>
              </w:rPr>
            </w:pPr>
            <w:r w:rsidRPr="000D1D74">
              <w:rPr>
                <w:rFonts w:cs="Arial"/>
                <w:sz w:val="22"/>
              </w:rPr>
              <w:t>Středa v sudých týdnech 11,30-15h</w:t>
            </w:r>
          </w:p>
        </w:tc>
      </w:tr>
      <w:tr w:rsidR="000D1D74" w:rsidRPr="000D1D74" w:rsidTr="00AE17C3">
        <w:tc>
          <w:tcPr>
            <w:cnfStyle w:val="001000000000" w:firstRow="0" w:lastRow="0" w:firstColumn="1" w:lastColumn="0" w:oddVBand="0" w:evenVBand="0" w:oddHBand="0" w:evenHBand="0" w:firstRowFirstColumn="0" w:firstRowLastColumn="0" w:lastRowFirstColumn="0" w:lastRowLastColumn="0"/>
            <w:tcW w:w="2376" w:type="dxa"/>
            <w:vAlign w:val="center"/>
          </w:tcPr>
          <w:p w:rsidR="000D1D74" w:rsidRPr="000D1D74" w:rsidRDefault="000D1D74" w:rsidP="000D1D74">
            <w:pPr>
              <w:spacing w:before="0"/>
              <w:jc w:val="center"/>
              <w:rPr>
                <w:rFonts w:cs="Arial"/>
                <w:sz w:val="20"/>
              </w:rPr>
            </w:pPr>
            <w:r w:rsidRPr="000D1D74">
              <w:rPr>
                <w:rFonts w:cs="Arial"/>
                <w:sz w:val="20"/>
              </w:rPr>
              <w:t>Ostatní (např. požadavek na dotační prostředky v roce 2014 od Velkého Meziříčí)</w:t>
            </w:r>
          </w:p>
        </w:tc>
        <w:tc>
          <w:tcPr>
            <w:tcW w:w="6836" w:type="dxa"/>
            <w:vAlign w:val="center"/>
          </w:tcPr>
          <w:p w:rsidR="000D1D74" w:rsidRPr="000D1D74" w:rsidRDefault="000D1D74" w:rsidP="000D1D74">
            <w:pPr>
              <w:spacing w:before="0"/>
              <w:jc w:val="left"/>
              <w:cnfStyle w:val="000000000000" w:firstRow="0" w:lastRow="0" w:firstColumn="0" w:lastColumn="0" w:oddVBand="0" w:evenVBand="0" w:oddHBand="0" w:evenHBand="0" w:firstRowFirstColumn="0" w:firstRowLastColumn="0" w:lastRowFirstColumn="0" w:lastRowLastColumn="0"/>
              <w:rPr>
                <w:rFonts w:cs="Arial"/>
                <w:sz w:val="22"/>
              </w:rPr>
            </w:pPr>
            <w:r w:rsidRPr="000D1D74">
              <w:rPr>
                <w:rFonts w:cs="Arial"/>
                <w:sz w:val="22"/>
              </w:rPr>
              <w:t>40.000,- Kč</w:t>
            </w:r>
          </w:p>
        </w:tc>
      </w:tr>
    </w:tbl>
    <w:p w:rsidR="00D22F26" w:rsidRDefault="00D22F26" w:rsidP="00D22F26">
      <w:pPr>
        <w:pStyle w:val="Nadpis1"/>
        <w:numPr>
          <w:ilvl w:val="0"/>
          <w:numId w:val="0"/>
        </w:numPr>
      </w:pPr>
    </w:p>
    <w:p w:rsidR="00D22F26" w:rsidRDefault="00D22F26" w:rsidP="00D22F26">
      <w:pPr>
        <w:rPr>
          <w:rFonts w:eastAsiaTheme="majorEastAsia" w:cstheme="majorBidi"/>
          <w:color w:val="FF0000"/>
          <w:szCs w:val="28"/>
        </w:rPr>
      </w:pPr>
      <w:r>
        <w:br w:type="page"/>
      </w:r>
    </w:p>
    <w:p w:rsidR="00BF270D" w:rsidRDefault="003D0F8B" w:rsidP="00DD261D">
      <w:pPr>
        <w:pStyle w:val="Nadpis2"/>
      </w:pPr>
      <w:bookmarkStart w:id="74" w:name="_Toc367278167"/>
      <w:r>
        <w:t>ANALÝZA ZŘIZOVATEL</w:t>
      </w:r>
      <w:bookmarkEnd w:id="74"/>
      <w:r w:rsidR="0023297F">
        <w:t>E A ZADAVATELE</w:t>
      </w:r>
      <w:r w:rsidR="002E34F8">
        <w:t xml:space="preserve"> SOCIÁLNÍCH SLUŽEB</w:t>
      </w:r>
    </w:p>
    <w:p w:rsidR="00B16210" w:rsidRDefault="00AB41D8" w:rsidP="00E916F2">
      <w:r>
        <w:t>Analýza zřizovatelů sociálních služeb byla realizována ve spolupráci se zástupci Odboru sociálních věcí a zdravotnictví Městského úřadu ve Velkém Meziříčí. Důraz byl kladem zejména na finanční toky do</w:t>
      </w:r>
      <w:r w:rsidR="001E4AEA">
        <w:t xml:space="preserve"> sociální</w:t>
      </w:r>
      <w:r w:rsidR="006B4417">
        <w:t xml:space="preserve"> oblasti a jejich strukturu</w:t>
      </w:r>
      <w:r w:rsidR="001E4AEA">
        <w:t>. Získaná data</w:t>
      </w:r>
      <w:r w:rsidR="006B4417">
        <w:rPr>
          <w:rStyle w:val="Znakapoznpodarou"/>
        </w:rPr>
        <w:footnoteReference w:id="11"/>
      </w:r>
      <w:r w:rsidR="001E4AEA">
        <w:t xml:space="preserve"> byla roztříděna do přehledných tabulek uvedených níže. </w:t>
      </w:r>
    </w:p>
    <w:p w:rsidR="003E04A0" w:rsidRPr="00E916F2" w:rsidRDefault="003E04A0" w:rsidP="00E916F2"/>
    <w:p w:rsidR="00227C94" w:rsidRDefault="00227C94" w:rsidP="00DD261D">
      <w:pPr>
        <w:pStyle w:val="Nadpis3"/>
      </w:pPr>
      <w:bookmarkStart w:id="75" w:name="_Toc367278168"/>
      <w:r w:rsidRPr="004E4FD5">
        <w:t xml:space="preserve">Výdaje na </w:t>
      </w:r>
      <w:r w:rsidR="00BE3B25">
        <w:t xml:space="preserve">jednotlivé </w:t>
      </w:r>
      <w:r w:rsidRPr="004E4FD5">
        <w:t>sociální služby z rozpočtu města Velké Meziříčí</w:t>
      </w:r>
      <w:bookmarkEnd w:id="75"/>
    </w:p>
    <w:p w:rsidR="003E04A0" w:rsidRPr="003E04A0" w:rsidRDefault="003E04A0" w:rsidP="003E04A0"/>
    <w:p w:rsidR="003E04A0" w:rsidRDefault="00B16210" w:rsidP="00227C94">
      <w:r>
        <w:t>Následující tabulka č. 2</w:t>
      </w:r>
      <w:r w:rsidR="00594151">
        <w:t>5</w:t>
      </w:r>
      <w:r>
        <w:t xml:space="preserve"> dokumentuje financování jednotlivých sociálních služeb z rozpočtu města Velké Meziříčí v roce 2012 a 2013. </w:t>
      </w:r>
    </w:p>
    <w:p w:rsidR="003E04A0" w:rsidRPr="00227C94" w:rsidRDefault="003E04A0" w:rsidP="00227C94"/>
    <w:p w:rsidR="002E34F8" w:rsidRPr="002E34F8" w:rsidRDefault="002E34F8" w:rsidP="002E34F8">
      <w:pPr>
        <w:pStyle w:val="Titulek"/>
        <w:keepNext/>
        <w:rPr>
          <w:b w:val="0"/>
        </w:rPr>
      </w:pPr>
      <w:bookmarkStart w:id="76" w:name="_Toc367794869"/>
      <w:r>
        <w:t xml:space="preserve">Tabulka č. </w:t>
      </w:r>
      <w:r w:rsidR="00EE3646">
        <w:fldChar w:fldCharType="begin"/>
      </w:r>
      <w:r w:rsidR="00EE3646">
        <w:instrText xml:space="preserve"> SEQ Tabulka_č. \* ARABIC </w:instrText>
      </w:r>
      <w:r w:rsidR="00EE3646">
        <w:fldChar w:fldCharType="separate"/>
      </w:r>
      <w:r w:rsidR="00594151">
        <w:rPr>
          <w:noProof/>
        </w:rPr>
        <w:t>25</w:t>
      </w:r>
      <w:r w:rsidR="00EE3646">
        <w:rPr>
          <w:noProof/>
        </w:rPr>
        <w:fldChar w:fldCharType="end"/>
      </w:r>
      <w:r>
        <w:t xml:space="preserve">: </w:t>
      </w:r>
      <w:r>
        <w:rPr>
          <w:b w:val="0"/>
        </w:rPr>
        <w:t>Výdaje na jednotlivé služby z rozpočtu města Velké Meziříčí</w:t>
      </w:r>
      <w:r w:rsidR="006B4417">
        <w:rPr>
          <w:b w:val="0"/>
        </w:rPr>
        <w:t>.</w:t>
      </w:r>
      <w:bookmarkEnd w:id="76"/>
    </w:p>
    <w:tbl>
      <w:tblPr>
        <w:tblStyle w:val="Mkatabulky4"/>
        <w:tblW w:w="0" w:type="auto"/>
        <w:tblLook w:val="04A0" w:firstRow="1" w:lastRow="0" w:firstColumn="1" w:lastColumn="0" w:noHBand="0" w:noVBand="1"/>
      </w:tblPr>
      <w:tblGrid>
        <w:gridCol w:w="3070"/>
        <w:gridCol w:w="3071"/>
        <w:gridCol w:w="3071"/>
      </w:tblGrid>
      <w:tr w:rsidR="00227C94" w:rsidRPr="00227C94" w:rsidTr="00981CCC">
        <w:tc>
          <w:tcPr>
            <w:tcW w:w="3070" w:type="dxa"/>
            <w:shd w:val="clear" w:color="auto" w:fill="365F91" w:themeFill="accent1" w:themeFillShade="BF"/>
            <w:vAlign w:val="center"/>
          </w:tcPr>
          <w:p w:rsidR="00227C94" w:rsidRPr="00227C94" w:rsidRDefault="00227C94" w:rsidP="00227C94">
            <w:pPr>
              <w:spacing w:before="0"/>
              <w:jc w:val="center"/>
              <w:rPr>
                <w:rFonts w:asciiTheme="minorHAnsi" w:hAnsiTheme="minorHAnsi"/>
                <w:b/>
                <w:sz w:val="22"/>
              </w:rPr>
            </w:pPr>
            <w:r w:rsidRPr="00227C94">
              <w:rPr>
                <w:rFonts w:asciiTheme="minorHAnsi" w:hAnsiTheme="minorHAnsi"/>
                <w:b/>
                <w:sz w:val="22"/>
              </w:rPr>
              <w:t>Název</w:t>
            </w:r>
          </w:p>
        </w:tc>
        <w:tc>
          <w:tcPr>
            <w:tcW w:w="3071" w:type="dxa"/>
            <w:shd w:val="clear" w:color="auto" w:fill="365F91" w:themeFill="accent1" w:themeFillShade="BF"/>
            <w:vAlign w:val="center"/>
          </w:tcPr>
          <w:p w:rsidR="00227C94" w:rsidRPr="00227C94" w:rsidRDefault="00227C94" w:rsidP="00227C94">
            <w:pPr>
              <w:spacing w:before="0"/>
              <w:jc w:val="center"/>
              <w:rPr>
                <w:rFonts w:asciiTheme="minorHAnsi" w:hAnsiTheme="minorHAnsi"/>
                <w:b/>
                <w:sz w:val="22"/>
              </w:rPr>
            </w:pPr>
            <w:r w:rsidRPr="00227C94">
              <w:rPr>
                <w:rFonts w:asciiTheme="minorHAnsi" w:hAnsiTheme="minorHAnsi"/>
                <w:b/>
                <w:sz w:val="22"/>
              </w:rPr>
              <w:t>Skutečnost 2012</w:t>
            </w:r>
          </w:p>
        </w:tc>
        <w:tc>
          <w:tcPr>
            <w:tcW w:w="3071" w:type="dxa"/>
            <w:shd w:val="clear" w:color="auto" w:fill="365F91" w:themeFill="accent1" w:themeFillShade="BF"/>
            <w:vAlign w:val="center"/>
          </w:tcPr>
          <w:p w:rsidR="00227C94" w:rsidRPr="00227C94" w:rsidRDefault="00227C94" w:rsidP="00227C94">
            <w:pPr>
              <w:spacing w:before="0"/>
              <w:jc w:val="center"/>
              <w:rPr>
                <w:rFonts w:asciiTheme="minorHAnsi" w:hAnsiTheme="minorHAnsi"/>
                <w:b/>
                <w:sz w:val="22"/>
              </w:rPr>
            </w:pPr>
            <w:r w:rsidRPr="00227C94">
              <w:rPr>
                <w:rFonts w:asciiTheme="minorHAnsi" w:hAnsiTheme="minorHAnsi"/>
                <w:b/>
                <w:sz w:val="22"/>
              </w:rPr>
              <w:t>Rozpočet 2013</w:t>
            </w:r>
          </w:p>
        </w:tc>
      </w:tr>
      <w:tr w:rsidR="00227C94" w:rsidRPr="00227C94" w:rsidTr="00981CCC">
        <w:tc>
          <w:tcPr>
            <w:tcW w:w="3070" w:type="dxa"/>
            <w:shd w:val="clear" w:color="auto" w:fill="95B3D7" w:themeFill="accent1" w:themeFillTint="99"/>
            <w:vAlign w:val="center"/>
          </w:tcPr>
          <w:p w:rsidR="00227C94" w:rsidRPr="00227C94" w:rsidRDefault="00227C94" w:rsidP="00227C94">
            <w:pPr>
              <w:spacing w:before="0"/>
              <w:jc w:val="left"/>
              <w:rPr>
                <w:rFonts w:asciiTheme="minorHAnsi" w:hAnsiTheme="minorHAnsi"/>
                <w:b/>
                <w:sz w:val="22"/>
              </w:rPr>
            </w:pPr>
            <w:r w:rsidRPr="00227C94">
              <w:rPr>
                <w:rFonts w:asciiTheme="minorHAnsi" w:hAnsiTheme="minorHAnsi"/>
                <w:b/>
                <w:sz w:val="22"/>
              </w:rPr>
              <w:t>Sociální služby města Velké Meziříčí</w:t>
            </w:r>
          </w:p>
        </w:tc>
        <w:tc>
          <w:tcPr>
            <w:tcW w:w="3071" w:type="dxa"/>
            <w:shd w:val="clear" w:color="auto" w:fill="95B3D7" w:themeFill="accent1" w:themeFillTint="99"/>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2.750.000,- Kč</w:t>
            </w:r>
          </w:p>
        </w:tc>
        <w:tc>
          <w:tcPr>
            <w:tcW w:w="3071" w:type="dxa"/>
            <w:shd w:val="clear" w:color="auto" w:fill="95B3D7" w:themeFill="accent1" w:themeFillTint="99"/>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 xml:space="preserve">4.368.000,- Kč </w:t>
            </w:r>
          </w:p>
        </w:tc>
      </w:tr>
      <w:tr w:rsidR="00227C94" w:rsidRPr="00227C94" w:rsidTr="00981CCC">
        <w:tc>
          <w:tcPr>
            <w:tcW w:w="3070" w:type="dxa"/>
            <w:shd w:val="clear" w:color="auto" w:fill="B8CCE4" w:themeFill="accent1" w:themeFillTint="66"/>
            <w:vAlign w:val="center"/>
          </w:tcPr>
          <w:p w:rsidR="00227C94" w:rsidRPr="00227C94" w:rsidRDefault="00227C94" w:rsidP="00227C94">
            <w:pPr>
              <w:spacing w:before="0"/>
              <w:jc w:val="left"/>
              <w:rPr>
                <w:rFonts w:asciiTheme="minorHAnsi" w:hAnsiTheme="minorHAnsi"/>
                <w:b/>
                <w:sz w:val="22"/>
              </w:rPr>
            </w:pPr>
            <w:r w:rsidRPr="00227C94">
              <w:rPr>
                <w:rFonts w:asciiTheme="minorHAnsi" w:hAnsiTheme="minorHAnsi"/>
                <w:b/>
                <w:sz w:val="22"/>
              </w:rPr>
              <w:t>Občanská poradna Žďár nad Sázavou</w:t>
            </w:r>
          </w:p>
        </w:tc>
        <w:tc>
          <w:tcPr>
            <w:tcW w:w="3071" w:type="dxa"/>
            <w:shd w:val="clear" w:color="auto" w:fill="B8CCE4" w:themeFill="accent1" w:themeFillTint="66"/>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40.000,- Kč</w:t>
            </w:r>
          </w:p>
        </w:tc>
        <w:tc>
          <w:tcPr>
            <w:tcW w:w="3071" w:type="dxa"/>
            <w:shd w:val="clear" w:color="auto" w:fill="B8CCE4" w:themeFill="accent1" w:themeFillTint="66"/>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40.000,- Kč</w:t>
            </w:r>
          </w:p>
        </w:tc>
      </w:tr>
      <w:tr w:rsidR="00227C94" w:rsidRPr="00227C94" w:rsidTr="00981CCC">
        <w:tc>
          <w:tcPr>
            <w:tcW w:w="3070" w:type="dxa"/>
            <w:shd w:val="clear" w:color="auto" w:fill="95B3D7" w:themeFill="accent1" w:themeFillTint="99"/>
            <w:vAlign w:val="center"/>
          </w:tcPr>
          <w:p w:rsidR="00227C94" w:rsidRPr="00227C94" w:rsidRDefault="00227C94" w:rsidP="00227C94">
            <w:pPr>
              <w:spacing w:before="0"/>
              <w:jc w:val="left"/>
              <w:rPr>
                <w:rFonts w:asciiTheme="minorHAnsi" w:hAnsiTheme="minorHAnsi"/>
                <w:b/>
                <w:sz w:val="22"/>
              </w:rPr>
            </w:pPr>
            <w:r w:rsidRPr="00227C94">
              <w:rPr>
                <w:rFonts w:asciiTheme="minorHAnsi" w:hAnsiTheme="minorHAnsi"/>
                <w:b/>
                <w:sz w:val="22"/>
              </w:rPr>
              <w:t>Centrum pro rodiče s dětmi Kopretina - OCH ZR</w:t>
            </w:r>
          </w:p>
        </w:tc>
        <w:tc>
          <w:tcPr>
            <w:tcW w:w="3071" w:type="dxa"/>
            <w:shd w:val="clear" w:color="auto" w:fill="95B3D7" w:themeFill="accent1" w:themeFillTint="99"/>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250.000,- Kč</w:t>
            </w:r>
          </w:p>
        </w:tc>
        <w:tc>
          <w:tcPr>
            <w:tcW w:w="3071" w:type="dxa"/>
            <w:shd w:val="clear" w:color="auto" w:fill="95B3D7" w:themeFill="accent1" w:themeFillTint="99"/>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250.000,- Kč</w:t>
            </w:r>
          </w:p>
        </w:tc>
      </w:tr>
      <w:tr w:rsidR="00227C94" w:rsidRPr="00227C94" w:rsidTr="00981CCC">
        <w:tc>
          <w:tcPr>
            <w:tcW w:w="3070" w:type="dxa"/>
            <w:shd w:val="clear" w:color="auto" w:fill="B8CCE4" w:themeFill="accent1" w:themeFillTint="66"/>
            <w:vAlign w:val="center"/>
          </w:tcPr>
          <w:p w:rsidR="00227C94" w:rsidRPr="00227C94" w:rsidRDefault="00227C94" w:rsidP="00227C94">
            <w:pPr>
              <w:spacing w:before="0"/>
              <w:jc w:val="left"/>
              <w:rPr>
                <w:rFonts w:asciiTheme="minorHAnsi" w:hAnsiTheme="minorHAnsi"/>
                <w:b/>
                <w:sz w:val="22"/>
              </w:rPr>
            </w:pPr>
            <w:r w:rsidRPr="00227C94">
              <w:rPr>
                <w:rFonts w:asciiTheme="minorHAnsi" w:hAnsiTheme="minorHAnsi"/>
                <w:b/>
                <w:sz w:val="22"/>
              </w:rPr>
              <w:t>Programy primární prevence - OCH ZR</w:t>
            </w:r>
          </w:p>
        </w:tc>
        <w:tc>
          <w:tcPr>
            <w:tcW w:w="3071" w:type="dxa"/>
            <w:shd w:val="clear" w:color="auto" w:fill="B8CCE4" w:themeFill="accent1" w:themeFillTint="66"/>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100.000,- Kč</w:t>
            </w:r>
          </w:p>
        </w:tc>
        <w:tc>
          <w:tcPr>
            <w:tcW w:w="3071" w:type="dxa"/>
            <w:shd w:val="clear" w:color="auto" w:fill="B8CCE4" w:themeFill="accent1" w:themeFillTint="66"/>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100.000,- Kč</w:t>
            </w:r>
          </w:p>
        </w:tc>
      </w:tr>
      <w:tr w:rsidR="00227C94" w:rsidRPr="00227C94" w:rsidTr="00981CCC">
        <w:tc>
          <w:tcPr>
            <w:tcW w:w="3070" w:type="dxa"/>
            <w:shd w:val="clear" w:color="auto" w:fill="95B3D7" w:themeFill="accent1" w:themeFillTint="99"/>
            <w:vAlign w:val="center"/>
          </w:tcPr>
          <w:p w:rsidR="00227C94" w:rsidRPr="00227C94" w:rsidRDefault="00227C94" w:rsidP="00227C94">
            <w:pPr>
              <w:spacing w:before="0"/>
              <w:jc w:val="left"/>
              <w:rPr>
                <w:rFonts w:asciiTheme="minorHAnsi" w:hAnsiTheme="minorHAnsi"/>
                <w:b/>
                <w:sz w:val="22"/>
              </w:rPr>
            </w:pPr>
            <w:r w:rsidRPr="00227C94">
              <w:rPr>
                <w:rFonts w:asciiTheme="minorHAnsi" w:hAnsiTheme="minorHAnsi"/>
                <w:b/>
                <w:sz w:val="22"/>
              </w:rPr>
              <w:t>Osobní asistence - OCH ZR</w:t>
            </w:r>
          </w:p>
        </w:tc>
        <w:tc>
          <w:tcPr>
            <w:tcW w:w="3071" w:type="dxa"/>
            <w:shd w:val="clear" w:color="auto" w:fill="95B3D7" w:themeFill="accent1" w:themeFillTint="99"/>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410.000,- Kč</w:t>
            </w:r>
          </w:p>
        </w:tc>
        <w:tc>
          <w:tcPr>
            <w:tcW w:w="3071" w:type="dxa"/>
            <w:shd w:val="clear" w:color="auto" w:fill="95B3D7" w:themeFill="accent1" w:themeFillTint="99"/>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410.000,- Kč</w:t>
            </w:r>
          </w:p>
        </w:tc>
      </w:tr>
      <w:tr w:rsidR="00227C94" w:rsidRPr="00227C94" w:rsidTr="00981CCC">
        <w:tc>
          <w:tcPr>
            <w:tcW w:w="3070" w:type="dxa"/>
            <w:shd w:val="clear" w:color="auto" w:fill="B8CCE4" w:themeFill="accent1" w:themeFillTint="66"/>
            <w:vAlign w:val="center"/>
          </w:tcPr>
          <w:p w:rsidR="00227C94" w:rsidRPr="00227C94" w:rsidRDefault="00227C94" w:rsidP="00227C94">
            <w:pPr>
              <w:spacing w:before="0"/>
              <w:jc w:val="left"/>
              <w:rPr>
                <w:rFonts w:asciiTheme="minorHAnsi" w:hAnsiTheme="minorHAnsi"/>
                <w:b/>
                <w:sz w:val="22"/>
              </w:rPr>
            </w:pPr>
            <w:r w:rsidRPr="00227C94">
              <w:rPr>
                <w:rFonts w:asciiTheme="minorHAnsi" w:hAnsiTheme="minorHAnsi"/>
                <w:b/>
                <w:sz w:val="22"/>
              </w:rPr>
              <w:t>Denní stacionář NESA - OCH ZR</w:t>
            </w:r>
          </w:p>
        </w:tc>
        <w:tc>
          <w:tcPr>
            <w:tcW w:w="3071" w:type="dxa"/>
            <w:shd w:val="clear" w:color="auto" w:fill="B8CCE4" w:themeFill="accent1" w:themeFillTint="66"/>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730.000,- Kč</w:t>
            </w:r>
          </w:p>
        </w:tc>
        <w:tc>
          <w:tcPr>
            <w:tcW w:w="3071" w:type="dxa"/>
            <w:shd w:val="clear" w:color="auto" w:fill="B8CCE4" w:themeFill="accent1" w:themeFillTint="66"/>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750.000,- Kč</w:t>
            </w:r>
          </w:p>
        </w:tc>
      </w:tr>
      <w:tr w:rsidR="00227C94" w:rsidRPr="00227C94" w:rsidTr="00981CCC">
        <w:tc>
          <w:tcPr>
            <w:tcW w:w="3070" w:type="dxa"/>
            <w:shd w:val="clear" w:color="auto" w:fill="95B3D7" w:themeFill="accent1" w:themeFillTint="99"/>
            <w:vAlign w:val="center"/>
          </w:tcPr>
          <w:p w:rsidR="00227C94" w:rsidRPr="00227C94" w:rsidRDefault="00227C94" w:rsidP="00227C94">
            <w:pPr>
              <w:spacing w:before="0"/>
              <w:jc w:val="left"/>
              <w:rPr>
                <w:rFonts w:asciiTheme="minorHAnsi" w:hAnsiTheme="minorHAnsi"/>
                <w:b/>
                <w:sz w:val="22"/>
              </w:rPr>
            </w:pPr>
            <w:r w:rsidRPr="00227C94">
              <w:rPr>
                <w:rFonts w:asciiTheme="minorHAnsi" w:hAnsiTheme="minorHAnsi"/>
                <w:b/>
                <w:sz w:val="22"/>
              </w:rPr>
              <w:t>Domácí hospicová péče - OCH ZR</w:t>
            </w:r>
          </w:p>
        </w:tc>
        <w:tc>
          <w:tcPr>
            <w:tcW w:w="3071" w:type="dxa"/>
            <w:shd w:val="clear" w:color="auto" w:fill="95B3D7" w:themeFill="accent1" w:themeFillTint="99"/>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70.000,- Kč</w:t>
            </w:r>
          </w:p>
        </w:tc>
        <w:tc>
          <w:tcPr>
            <w:tcW w:w="3071" w:type="dxa"/>
            <w:shd w:val="clear" w:color="auto" w:fill="95B3D7" w:themeFill="accent1" w:themeFillTint="99"/>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80.000,- Kč</w:t>
            </w:r>
          </w:p>
        </w:tc>
      </w:tr>
      <w:tr w:rsidR="00227C94" w:rsidRPr="00227C94" w:rsidTr="00981CCC">
        <w:tc>
          <w:tcPr>
            <w:tcW w:w="3070" w:type="dxa"/>
            <w:shd w:val="clear" w:color="auto" w:fill="B8CCE4" w:themeFill="accent1" w:themeFillTint="66"/>
            <w:vAlign w:val="center"/>
          </w:tcPr>
          <w:p w:rsidR="00227C94" w:rsidRPr="00227C94" w:rsidRDefault="00227C94" w:rsidP="00227C94">
            <w:pPr>
              <w:spacing w:before="0"/>
              <w:jc w:val="left"/>
              <w:rPr>
                <w:rFonts w:asciiTheme="minorHAnsi" w:hAnsiTheme="minorHAnsi"/>
                <w:b/>
                <w:sz w:val="22"/>
              </w:rPr>
            </w:pPr>
            <w:r w:rsidRPr="00227C94">
              <w:rPr>
                <w:rFonts w:asciiTheme="minorHAnsi" w:hAnsiTheme="minorHAnsi"/>
                <w:b/>
                <w:sz w:val="22"/>
              </w:rPr>
              <w:t>Wellmez NZDM - OCH ZR</w:t>
            </w:r>
          </w:p>
        </w:tc>
        <w:tc>
          <w:tcPr>
            <w:tcW w:w="3071" w:type="dxa"/>
            <w:shd w:val="clear" w:color="auto" w:fill="B8CCE4" w:themeFill="accent1" w:themeFillTint="66"/>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na provoz 0,- Kč</w:t>
            </w:r>
          </w:p>
        </w:tc>
        <w:tc>
          <w:tcPr>
            <w:tcW w:w="3071" w:type="dxa"/>
            <w:shd w:val="clear" w:color="auto" w:fill="B8CCE4" w:themeFill="accent1" w:themeFillTint="66"/>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200.000,- Kč</w:t>
            </w:r>
          </w:p>
        </w:tc>
      </w:tr>
      <w:tr w:rsidR="00227C94" w:rsidRPr="00227C94" w:rsidTr="00981CCC">
        <w:tc>
          <w:tcPr>
            <w:tcW w:w="3070" w:type="dxa"/>
            <w:shd w:val="clear" w:color="auto" w:fill="95B3D7" w:themeFill="accent1" w:themeFillTint="99"/>
            <w:vAlign w:val="center"/>
          </w:tcPr>
          <w:p w:rsidR="00227C94" w:rsidRPr="00227C94" w:rsidRDefault="00227C94" w:rsidP="00227C94">
            <w:pPr>
              <w:spacing w:before="0"/>
              <w:jc w:val="left"/>
              <w:rPr>
                <w:rFonts w:asciiTheme="minorHAnsi" w:hAnsiTheme="minorHAnsi"/>
                <w:b/>
                <w:sz w:val="22"/>
              </w:rPr>
            </w:pPr>
            <w:r w:rsidRPr="00227C94">
              <w:rPr>
                <w:rFonts w:asciiTheme="minorHAnsi" w:hAnsiTheme="minorHAnsi"/>
                <w:b/>
                <w:sz w:val="22"/>
              </w:rPr>
              <w:t>Domov pro matky a otce s dětmi Ječmínek - ZR</w:t>
            </w:r>
          </w:p>
        </w:tc>
        <w:tc>
          <w:tcPr>
            <w:tcW w:w="3071" w:type="dxa"/>
            <w:shd w:val="clear" w:color="auto" w:fill="95B3D7" w:themeFill="accent1" w:themeFillTint="99"/>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30.000,- Kč</w:t>
            </w:r>
          </w:p>
        </w:tc>
        <w:tc>
          <w:tcPr>
            <w:tcW w:w="3071" w:type="dxa"/>
            <w:shd w:val="clear" w:color="auto" w:fill="95B3D7" w:themeFill="accent1" w:themeFillTint="99"/>
            <w:vAlign w:val="center"/>
          </w:tcPr>
          <w:p w:rsidR="00227C94" w:rsidRPr="00227C94" w:rsidRDefault="00227C94" w:rsidP="00227C94">
            <w:pPr>
              <w:spacing w:before="0"/>
              <w:jc w:val="center"/>
              <w:rPr>
                <w:rFonts w:asciiTheme="minorHAnsi" w:hAnsiTheme="minorHAnsi"/>
                <w:sz w:val="22"/>
              </w:rPr>
            </w:pPr>
            <w:r w:rsidRPr="00227C94">
              <w:rPr>
                <w:rFonts w:asciiTheme="minorHAnsi" w:hAnsiTheme="minorHAnsi"/>
                <w:sz w:val="22"/>
              </w:rPr>
              <w:t>30.000,- Kč</w:t>
            </w:r>
          </w:p>
        </w:tc>
      </w:tr>
      <w:tr w:rsidR="004A2909" w:rsidRPr="00227C94" w:rsidTr="00981CCC">
        <w:tc>
          <w:tcPr>
            <w:tcW w:w="3070" w:type="dxa"/>
            <w:shd w:val="clear" w:color="auto" w:fill="95B3D7" w:themeFill="accent1" w:themeFillTint="99"/>
            <w:vAlign w:val="center"/>
          </w:tcPr>
          <w:p w:rsidR="004A2909" w:rsidRPr="00227C94" w:rsidRDefault="004A2909" w:rsidP="00227C94">
            <w:pPr>
              <w:spacing w:before="0"/>
              <w:jc w:val="left"/>
              <w:rPr>
                <w:rFonts w:asciiTheme="minorHAnsi" w:hAnsiTheme="minorHAnsi"/>
                <w:b/>
                <w:sz w:val="22"/>
              </w:rPr>
            </w:pPr>
            <w:r w:rsidRPr="00227C94">
              <w:rPr>
                <w:rFonts w:asciiTheme="minorHAnsi" w:hAnsiTheme="minorHAnsi"/>
                <w:b/>
                <w:sz w:val="22"/>
              </w:rPr>
              <w:t>CELKEM</w:t>
            </w:r>
          </w:p>
        </w:tc>
        <w:tc>
          <w:tcPr>
            <w:tcW w:w="3071" w:type="dxa"/>
            <w:shd w:val="clear" w:color="auto" w:fill="95B3D7" w:themeFill="accent1" w:themeFillTint="99"/>
            <w:vAlign w:val="center"/>
          </w:tcPr>
          <w:p w:rsidR="004A2909" w:rsidRPr="00DB199F" w:rsidRDefault="004A2909" w:rsidP="005B5206">
            <w:pPr>
              <w:jc w:val="center"/>
              <w:rPr>
                <w:b/>
              </w:rPr>
            </w:pPr>
            <w:r w:rsidRPr="00DB199F">
              <w:rPr>
                <w:b/>
              </w:rPr>
              <w:t>4.380.000,- Kč</w:t>
            </w:r>
          </w:p>
        </w:tc>
        <w:tc>
          <w:tcPr>
            <w:tcW w:w="3071" w:type="dxa"/>
            <w:shd w:val="clear" w:color="auto" w:fill="95B3D7" w:themeFill="accent1" w:themeFillTint="99"/>
            <w:vAlign w:val="center"/>
          </w:tcPr>
          <w:p w:rsidR="004A2909" w:rsidRPr="00DB199F" w:rsidRDefault="004A2909" w:rsidP="005B5206">
            <w:pPr>
              <w:jc w:val="center"/>
              <w:rPr>
                <w:b/>
              </w:rPr>
            </w:pPr>
            <w:r>
              <w:rPr>
                <w:b/>
              </w:rPr>
              <w:t>6.228.000,- Kč</w:t>
            </w:r>
          </w:p>
        </w:tc>
      </w:tr>
    </w:tbl>
    <w:p w:rsidR="00972F85" w:rsidRDefault="00972F85" w:rsidP="00972F85">
      <w:pPr>
        <w:pStyle w:val="Nadpis3"/>
        <w:numPr>
          <w:ilvl w:val="0"/>
          <w:numId w:val="0"/>
        </w:numPr>
        <w:spacing w:before="0"/>
      </w:pPr>
      <w:bookmarkStart w:id="77" w:name="_Toc367278169"/>
    </w:p>
    <w:p w:rsidR="003E04A0" w:rsidRPr="003E04A0" w:rsidRDefault="003E04A0" w:rsidP="003E04A0"/>
    <w:p w:rsidR="003E04A0" w:rsidRDefault="003E04A0">
      <w:pPr>
        <w:spacing w:before="0" w:after="200" w:line="276" w:lineRule="auto"/>
        <w:jc w:val="left"/>
        <w:rPr>
          <w:rFonts w:eastAsiaTheme="majorEastAsia" w:cstheme="majorBidi"/>
          <w:b/>
          <w:bCs/>
          <w:color w:val="00B050"/>
        </w:rPr>
      </w:pPr>
      <w:r>
        <w:br w:type="page"/>
      </w:r>
    </w:p>
    <w:p w:rsidR="00227C94" w:rsidRPr="004E4FD5" w:rsidRDefault="00227C94" w:rsidP="00972F85">
      <w:pPr>
        <w:pStyle w:val="Nadpis3"/>
        <w:spacing w:before="0"/>
      </w:pPr>
      <w:r w:rsidRPr="004E4FD5">
        <w:t>Dotace neziskovým organizacím</w:t>
      </w:r>
      <w:bookmarkEnd w:id="77"/>
    </w:p>
    <w:p w:rsidR="00227C94" w:rsidRPr="00227C94" w:rsidRDefault="00B16210" w:rsidP="00B16210">
      <w:r>
        <w:t>Výdaje města Velké Meziříčí na neziskové organizace v roce 2012 a v roce 2013 jsou zaznamenány v tabulce č. 2</w:t>
      </w:r>
      <w:r w:rsidR="00594151">
        <w:t>6</w:t>
      </w:r>
      <w:r>
        <w:t xml:space="preserve">. </w:t>
      </w:r>
    </w:p>
    <w:p w:rsidR="002E34F8" w:rsidRPr="002E34F8" w:rsidRDefault="002E34F8" w:rsidP="002E34F8">
      <w:pPr>
        <w:pStyle w:val="Titulek"/>
        <w:keepNext/>
        <w:rPr>
          <w:b w:val="0"/>
        </w:rPr>
      </w:pPr>
    </w:p>
    <w:p w:rsidR="00B16210" w:rsidRDefault="00B16210" w:rsidP="00B16210">
      <w:pPr>
        <w:pStyle w:val="Titulek"/>
        <w:keepNext/>
        <w:spacing w:after="0"/>
      </w:pPr>
      <w:bookmarkStart w:id="78" w:name="_Toc367794870"/>
      <w:r>
        <w:t xml:space="preserve">Tabulka č. </w:t>
      </w:r>
      <w:r w:rsidR="00EE3646">
        <w:fldChar w:fldCharType="begin"/>
      </w:r>
      <w:r w:rsidR="00EE3646">
        <w:instrText xml:space="preserve"> SEQ Tabulka_č. \* ARABIC </w:instrText>
      </w:r>
      <w:r w:rsidR="00EE3646">
        <w:fldChar w:fldCharType="separate"/>
      </w:r>
      <w:r w:rsidR="00594151">
        <w:rPr>
          <w:noProof/>
        </w:rPr>
        <w:t>26</w:t>
      </w:r>
      <w:r w:rsidR="00EE3646">
        <w:rPr>
          <w:noProof/>
        </w:rPr>
        <w:fldChar w:fldCharType="end"/>
      </w:r>
      <w:r>
        <w:t xml:space="preserve">: </w:t>
      </w:r>
      <w:r>
        <w:rPr>
          <w:b w:val="0"/>
        </w:rPr>
        <w:t>Dotace neziskových organizacím</w:t>
      </w:r>
      <w:r w:rsidR="006B4417">
        <w:rPr>
          <w:b w:val="0"/>
        </w:rPr>
        <w:t>.</w:t>
      </w:r>
      <w:bookmarkEnd w:id="78"/>
    </w:p>
    <w:tbl>
      <w:tblPr>
        <w:tblStyle w:val="Mkatabulky"/>
        <w:tblW w:w="0" w:type="auto"/>
        <w:tblLook w:val="04A0" w:firstRow="1" w:lastRow="0" w:firstColumn="1" w:lastColumn="0" w:noHBand="0" w:noVBand="1"/>
      </w:tblPr>
      <w:tblGrid>
        <w:gridCol w:w="3070"/>
        <w:gridCol w:w="3071"/>
        <w:gridCol w:w="3071"/>
      </w:tblGrid>
      <w:tr w:rsidR="004A2909" w:rsidRPr="004A2909" w:rsidTr="005B5206">
        <w:tc>
          <w:tcPr>
            <w:tcW w:w="3070" w:type="dxa"/>
            <w:shd w:val="clear" w:color="auto" w:fill="E36C0A" w:themeFill="accent6" w:themeFillShade="BF"/>
            <w:vAlign w:val="center"/>
          </w:tcPr>
          <w:p w:rsidR="004A2909" w:rsidRPr="004A2909" w:rsidRDefault="004A2909" w:rsidP="00B16210">
            <w:pPr>
              <w:spacing w:before="0"/>
              <w:jc w:val="center"/>
              <w:rPr>
                <w:rFonts w:asciiTheme="minorHAnsi" w:hAnsiTheme="minorHAnsi"/>
                <w:b/>
                <w:sz w:val="22"/>
              </w:rPr>
            </w:pPr>
            <w:r w:rsidRPr="004A2909">
              <w:rPr>
                <w:rFonts w:asciiTheme="minorHAnsi" w:hAnsiTheme="minorHAnsi"/>
                <w:b/>
                <w:sz w:val="22"/>
              </w:rPr>
              <w:t>Název</w:t>
            </w:r>
          </w:p>
        </w:tc>
        <w:tc>
          <w:tcPr>
            <w:tcW w:w="3071" w:type="dxa"/>
            <w:shd w:val="clear" w:color="auto" w:fill="E36C0A" w:themeFill="accent6" w:themeFillShade="BF"/>
            <w:vAlign w:val="center"/>
          </w:tcPr>
          <w:p w:rsidR="004A2909" w:rsidRPr="004A2909" w:rsidRDefault="004A2909" w:rsidP="00B16210">
            <w:pPr>
              <w:spacing w:before="0"/>
              <w:jc w:val="center"/>
              <w:rPr>
                <w:rFonts w:asciiTheme="minorHAnsi" w:hAnsiTheme="minorHAnsi"/>
                <w:b/>
                <w:sz w:val="22"/>
              </w:rPr>
            </w:pPr>
            <w:r w:rsidRPr="004A2909">
              <w:rPr>
                <w:rFonts w:asciiTheme="minorHAnsi" w:hAnsiTheme="minorHAnsi"/>
                <w:b/>
                <w:sz w:val="22"/>
              </w:rPr>
              <w:t>Skutečnost 2012</w:t>
            </w:r>
          </w:p>
        </w:tc>
        <w:tc>
          <w:tcPr>
            <w:tcW w:w="3071" w:type="dxa"/>
            <w:shd w:val="clear" w:color="auto" w:fill="E36C0A" w:themeFill="accent6" w:themeFillShade="BF"/>
            <w:vAlign w:val="center"/>
          </w:tcPr>
          <w:p w:rsidR="004A2909" w:rsidRPr="004A2909" w:rsidRDefault="004A2909" w:rsidP="00B16210">
            <w:pPr>
              <w:spacing w:before="0"/>
              <w:jc w:val="center"/>
              <w:rPr>
                <w:rFonts w:asciiTheme="minorHAnsi" w:hAnsiTheme="minorHAnsi"/>
                <w:b/>
                <w:sz w:val="22"/>
              </w:rPr>
            </w:pPr>
            <w:r w:rsidRPr="004A2909">
              <w:rPr>
                <w:rFonts w:asciiTheme="minorHAnsi" w:hAnsiTheme="minorHAnsi"/>
                <w:b/>
                <w:sz w:val="22"/>
              </w:rPr>
              <w:t>Rozpočet 2013</w:t>
            </w:r>
          </w:p>
        </w:tc>
      </w:tr>
      <w:tr w:rsidR="004A2909" w:rsidRPr="004A2909" w:rsidTr="005B5206">
        <w:tc>
          <w:tcPr>
            <w:tcW w:w="3070" w:type="dxa"/>
            <w:shd w:val="clear" w:color="auto" w:fill="FABF8F" w:themeFill="accent6" w:themeFillTint="99"/>
            <w:vAlign w:val="center"/>
          </w:tcPr>
          <w:p w:rsidR="004A2909" w:rsidRPr="004A2909" w:rsidRDefault="004A2909" w:rsidP="004A2909">
            <w:pPr>
              <w:spacing w:before="0"/>
              <w:jc w:val="left"/>
              <w:rPr>
                <w:rFonts w:asciiTheme="minorHAnsi" w:hAnsiTheme="minorHAnsi"/>
                <w:b/>
                <w:sz w:val="22"/>
              </w:rPr>
            </w:pPr>
            <w:r w:rsidRPr="004A2909">
              <w:rPr>
                <w:rFonts w:asciiTheme="minorHAnsi" w:hAnsiTheme="minorHAnsi"/>
                <w:b/>
                <w:sz w:val="22"/>
              </w:rPr>
              <w:t>SONS dotace</w:t>
            </w:r>
          </w:p>
        </w:tc>
        <w:tc>
          <w:tcPr>
            <w:tcW w:w="3071" w:type="dxa"/>
            <w:shd w:val="clear" w:color="auto" w:fill="FABF8F" w:themeFill="accent6" w:themeFillTint="99"/>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10.000,-  Kč</w:t>
            </w:r>
          </w:p>
        </w:tc>
        <w:tc>
          <w:tcPr>
            <w:tcW w:w="3071" w:type="dxa"/>
            <w:shd w:val="clear" w:color="auto" w:fill="FABF8F" w:themeFill="accent6" w:themeFillTint="99"/>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10.000,- Kč</w:t>
            </w:r>
          </w:p>
        </w:tc>
      </w:tr>
      <w:tr w:rsidR="004A2909" w:rsidRPr="004A2909" w:rsidTr="005B5206">
        <w:tc>
          <w:tcPr>
            <w:tcW w:w="3070" w:type="dxa"/>
            <w:shd w:val="clear" w:color="auto" w:fill="FDE9D9" w:themeFill="accent6" w:themeFillTint="33"/>
            <w:vAlign w:val="center"/>
          </w:tcPr>
          <w:p w:rsidR="004A2909" w:rsidRPr="004A2909" w:rsidRDefault="004A2909" w:rsidP="004A2909">
            <w:pPr>
              <w:spacing w:before="0"/>
              <w:jc w:val="left"/>
              <w:rPr>
                <w:rFonts w:asciiTheme="minorHAnsi" w:hAnsiTheme="minorHAnsi"/>
                <w:b/>
                <w:sz w:val="22"/>
              </w:rPr>
            </w:pPr>
            <w:r w:rsidRPr="004A2909">
              <w:rPr>
                <w:rFonts w:asciiTheme="minorHAnsi" w:hAnsiTheme="minorHAnsi"/>
                <w:b/>
                <w:sz w:val="22"/>
              </w:rPr>
              <w:t>Asociace rodičů a přátel zdravotně postižených dětí</w:t>
            </w:r>
          </w:p>
        </w:tc>
        <w:tc>
          <w:tcPr>
            <w:tcW w:w="3071" w:type="dxa"/>
            <w:shd w:val="clear" w:color="auto" w:fill="FDE9D9" w:themeFill="accent6" w:themeFillTint="33"/>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22.000,- Kč</w:t>
            </w:r>
          </w:p>
        </w:tc>
        <w:tc>
          <w:tcPr>
            <w:tcW w:w="3071" w:type="dxa"/>
            <w:shd w:val="clear" w:color="auto" w:fill="FDE9D9" w:themeFill="accent6" w:themeFillTint="33"/>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20.000,- Kč</w:t>
            </w:r>
          </w:p>
        </w:tc>
      </w:tr>
      <w:tr w:rsidR="004A2909" w:rsidRPr="004A2909" w:rsidTr="005B5206">
        <w:tc>
          <w:tcPr>
            <w:tcW w:w="3070" w:type="dxa"/>
            <w:shd w:val="clear" w:color="auto" w:fill="FABF8F" w:themeFill="accent6" w:themeFillTint="99"/>
            <w:vAlign w:val="center"/>
          </w:tcPr>
          <w:p w:rsidR="004A2909" w:rsidRPr="004A2909" w:rsidRDefault="004A2909" w:rsidP="004A2909">
            <w:pPr>
              <w:spacing w:before="0"/>
              <w:jc w:val="left"/>
              <w:rPr>
                <w:rFonts w:asciiTheme="minorHAnsi" w:hAnsiTheme="minorHAnsi"/>
                <w:b/>
                <w:sz w:val="22"/>
              </w:rPr>
            </w:pPr>
            <w:r w:rsidRPr="004A2909">
              <w:rPr>
                <w:rFonts w:asciiTheme="minorHAnsi" w:hAnsiTheme="minorHAnsi"/>
                <w:b/>
                <w:sz w:val="22"/>
              </w:rPr>
              <w:t>Svaz diabetiků</w:t>
            </w:r>
          </w:p>
        </w:tc>
        <w:tc>
          <w:tcPr>
            <w:tcW w:w="3071" w:type="dxa"/>
            <w:shd w:val="clear" w:color="auto" w:fill="FABF8F" w:themeFill="accent6" w:themeFillTint="99"/>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7.000,- Kč</w:t>
            </w:r>
          </w:p>
        </w:tc>
        <w:tc>
          <w:tcPr>
            <w:tcW w:w="3071" w:type="dxa"/>
            <w:shd w:val="clear" w:color="auto" w:fill="FABF8F" w:themeFill="accent6" w:themeFillTint="99"/>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7.000,- Kč</w:t>
            </w:r>
          </w:p>
        </w:tc>
      </w:tr>
      <w:tr w:rsidR="004A2909" w:rsidRPr="004A2909" w:rsidTr="005B5206">
        <w:tc>
          <w:tcPr>
            <w:tcW w:w="3070" w:type="dxa"/>
            <w:shd w:val="clear" w:color="auto" w:fill="FDE9D9" w:themeFill="accent6" w:themeFillTint="33"/>
            <w:vAlign w:val="center"/>
          </w:tcPr>
          <w:p w:rsidR="004A2909" w:rsidRPr="004A2909" w:rsidRDefault="004A2909" w:rsidP="004A2909">
            <w:pPr>
              <w:spacing w:before="0"/>
              <w:jc w:val="left"/>
              <w:rPr>
                <w:rFonts w:asciiTheme="minorHAnsi" w:hAnsiTheme="minorHAnsi"/>
                <w:b/>
                <w:sz w:val="22"/>
              </w:rPr>
            </w:pPr>
            <w:r w:rsidRPr="004A2909">
              <w:rPr>
                <w:rFonts w:asciiTheme="minorHAnsi" w:hAnsiTheme="minorHAnsi"/>
                <w:b/>
                <w:sz w:val="22"/>
              </w:rPr>
              <w:t>Klub naděje</w:t>
            </w:r>
          </w:p>
        </w:tc>
        <w:tc>
          <w:tcPr>
            <w:tcW w:w="3071" w:type="dxa"/>
            <w:shd w:val="clear" w:color="auto" w:fill="FDE9D9" w:themeFill="accent6" w:themeFillTint="33"/>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20.000,- Kč</w:t>
            </w:r>
          </w:p>
        </w:tc>
        <w:tc>
          <w:tcPr>
            <w:tcW w:w="3071" w:type="dxa"/>
            <w:shd w:val="clear" w:color="auto" w:fill="FDE9D9" w:themeFill="accent6" w:themeFillTint="33"/>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20.000,- Kč</w:t>
            </w:r>
          </w:p>
        </w:tc>
      </w:tr>
      <w:tr w:rsidR="004A2909" w:rsidRPr="004A2909" w:rsidTr="005B5206">
        <w:tc>
          <w:tcPr>
            <w:tcW w:w="3070" w:type="dxa"/>
            <w:shd w:val="clear" w:color="auto" w:fill="FABF8F" w:themeFill="accent6" w:themeFillTint="99"/>
            <w:vAlign w:val="center"/>
          </w:tcPr>
          <w:p w:rsidR="004A2909" w:rsidRPr="004A2909" w:rsidRDefault="004A2909" w:rsidP="004A2909">
            <w:pPr>
              <w:spacing w:before="0"/>
              <w:jc w:val="left"/>
              <w:rPr>
                <w:rFonts w:asciiTheme="minorHAnsi" w:hAnsiTheme="minorHAnsi"/>
                <w:b/>
                <w:sz w:val="22"/>
              </w:rPr>
            </w:pPr>
            <w:r w:rsidRPr="004A2909">
              <w:rPr>
                <w:rFonts w:asciiTheme="minorHAnsi" w:hAnsiTheme="minorHAnsi"/>
                <w:b/>
                <w:sz w:val="22"/>
              </w:rPr>
              <w:t>SPCCH</w:t>
            </w:r>
          </w:p>
        </w:tc>
        <w:tc>
          <w:tcPr>
            <w:tcW w:w="3071" w:type="dxa"/>
            <w:shd w:val="clear" w:color="auto" w:fill="FABF8F" w:themeFill="accent6" w:themeFillTint="99"/>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20.000,- Kč</w:t>
            </w:r>
          </w:p>
        </w:tc>
        <w:tc>
          <w:tcPr>
            <w:tcW w:w="3071" w:type="dxa"/>
            <w:shd w:val="clear" w:color="auto" w:fill="FABF8F" w:themeFill="accent6" w:themeFillTint="99"/>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20.000,- Kč</w:t>
            </w:r>
          </w:p>
        </w:tc>
      </w:tr>
      <w:tr w:rsidR="004A2909" w:rsidRPr="004A2909" w:rsidTr="005B5206">
        <w:tc>
          <w:tcPr>
            <w:tcW w:w="3070" w:type="dxa"/>
            <w:shd w:val="clear" w:color="auto" w:fill="FDE9D9" w:themeFill="accent6" w:themeFillTint="33"/>
            <w:vAlign w:val="center"/>
          </w:tcPr>
          <w:p w:rsidR="004A2909" w:rsidRPr="004A2909" w:rsidRDefault="004A2909" w:rsidP="004A2909">
            <w:pPr>
              <w:spacing w:before="0"/>
              <w:jc w:val="left"/>
              <w:rPr>
                <w:rFonts w:asciiTheme="minorHAnsi" w:hAnsiTheme="minorHAnsi"/>
                <w:b/>
                <w:sz w:val="22"/>
              </w:rPr>
            </w:pPr>
            <w:r w:rsidRPr="004A2909">
              <w:rPr>
                <w:rFonts w:asciiTheme="minorHAnsi" w:hAnsiTheme="minorHAnsi"/>
                <w:b/>
                <w:sz w:val="22"/>
              </w:rPr>
              <w:t>Klub Bechtěreviků</w:t>
            </w:r>
          </w:p>
        </w:tc>
        <w:tc>
          <w:tcPr>
            <w:tcW w:w="3071" w:type="dxa"/>
            <w:shd w:val="clear" w:color="auto" w:fill="FDE9D9" w:themeFill="accent6" w:themeFillTint="33"/>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10.000- Kč</w:t>
            </w:r>
          </w:p>
        </w:tc>
        <w:tc>
          <w:tcPr>
            <w:tcW w:w="3071" w:type="dxa"/>
            <w:shd w:val="clear" w:color="auto" w:fill="FDE9D9" w:themeFill="accent6" w:themeFillTint="33"/>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10.000,- Kč</w:t>
            </w:r>
          </w:p>
        </w:tc>
      </w:tr>
      <w:tr w:rsidR="004A2909" w:rsidRPr="004A2909" w:rsidTr="005B5206">
        <w:tc>
          <w:tcPr>
            <w:tcW w:w="3070" w:type="dxa"/>
            <w:shd w:val="clear" w:color="auto" w:fill="FABF8F" w:themeFill="accent6" w:themeFillTint="99"/>
            <w:vAlign w:val="center"/>
          </w:tcPr>
          <w:p w:rsidR="004A2909" w:rsidRPr="004A2909" w:rsidRDefault="004A2909" w:rsidP="004A2909">
            <w:pPr>
              <w:spacing w:before="0"/>
              <w:jc w:val="left"/>
              <w:rPr>
                <w:rFonts w:asciiTheme="minorHAnsi" w:hAnsiTheme="minorHAnsi"/>
                <w:b/>
                <w:sz w:val="22"/>
              </w:rPr>
            </w:pPr>
            <w:r w:rsidRPr="004A2909">
              <w:rPr>
                <w:rFonts w:asciiTheme="minorHAnsi" w:hAnsiTheme="minorHAnsi"/>
                <w:b/>
                <w:sz w:val="22"/>
              </w:rPr>
              <w:t>Spolek rodičů a přátel z Dětského střediska Březejc</w:t>
            </w:r>
          </w:p>
        </w:tc>
        <w:tc>
          <w:tcPr>
            <w:tcW w:w="3071" w:type="dxa"/>
            <w:shd w:val="clear" w:color="auto" w:fill="FABF8F" w:themeFill="accent6" w:themeFillTint="99"/>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10.000,- Kč</w:t>
            </w:r>
          </w:p>
        </w:tc>
        <w:tc>
          <w:tcPr>
            <w:tcW w:w="3071" w:type="dxa"/>
            <w:shd w:val="clear" w:color="auto" w:fill="FABF8F" w:themeFill="accent6" w:themeFillTint="99"/>
            <w:vAlign w:val="center"/>
          </w:tcPr>
          <w:p w:rsidR="004A2909" w:rsidRPr="004A2909" w:rsidRDefault="004A2909" w:rsidP="004A2909">
            <w:pPr>
              <w:spacing w:before="0"/>
              <w:jc w:val="center"/>
              <w:rPr>
                <w:rFonts w:asciiTheme="minorHAnsi" w:hAnsiTheme="minorHAnsi"/>
                <w:sz w:val="22"/>
              </w:rPr>
            </w:pPr>
            <w:r w:rsidRPr="004A2909">
              <w:rPr>
                <w:rFonts w:asciiTheme="minorHAnsi" w:hAnsiTheme="minorHAnsi"/>
                <w:sz w:val="22"/>
              </w:rPr>
              <w:t>0,- Kč</w:t>
            </w:r>
          </w:p>
        </w:tc>
      </w:tr>
      <w:tr w:rsidR="004A2909" w:rsidRPr="004A2909" w:rsidTr="005B5206">
        <w:tc>
          <w:tcPr>
            <w:tcW w:w="3070" w:type="dxa"/>
            <w:shd w:val="clear" w:color="auto" w:fill="FABF8F" w:themeFill="accent6" w:themeFillTint="99"/>
            <w:vAlign w:val="center"/>
          </w:tcPr>
          <w:p w:rsidR="004A2909" w:rsidRPr="004A2909" w:rsidRDefault="004A2909" w:rsidP="004A2909">
            <w:pPr>
              <w:spacing w:before="0"/>
              <w:jc w:val="left"/>
              <w:rPr>
                <w:rFonts w:asciiTheme="minorHAnsi" w:hAnsiTheme="minorHAnsi"/>
                <w:b/>
                <w:sz w:val="22"/>
              </w:rPr>
            </w:pPr>
            <w:r w:rsidRPr="004A2909">
              <w:rPr>
                <w:rFonts w:asciiTheme="minorHAnsi" w:hAnsiTheme="minorHAnsi"/>
                <w:b/>
                <w:sz w:val="22"/>
              </w:rPr>
              <w:t>CELKEM</w:t>
            </w:r>
          </w:p>
        </w:tc>
        <w:tc>
          <w:tcPr>
            <w:tcW w:w="3071" w:type="dxa"/>
            <w:shd w:val="clear" w:color="auto" w:fill="FABF8F" w:themeFill="accent6" w:themeFillTint="99"/>
            <w:vAlign w:val="center"/>
          </w:tcPr>
          <w:p w:rsidR="004A2909" w:rsidRPr="004A2909" w:rsidRDefault="004A2909" w:rsidP="004A2909">
            <w:pPr>
              <w:spacing w:before="0"/>
              <w:jc w:val="center"/>
              <w:rPr>
                <w:rFonts w:asciiTheme="minorHAnsi" w:hAnsiTheme="minorHAnsi"/>
                <w:b/>
                <w:sz w:val="22"/>
              </w:rPr>
            </w:pPr>
            <w:r w:rsidRPr="004A2909">
              <w:rPr>
                <w:rFonts w:asciiTheme="minorHAnsi" w:hAnsiTheme="minorHAnsi"/>
                <w:b/>
                <w:sz w:val="22"/>
              </w:rPr>
              <w:t>99.000,- Kč</w:t>
            </w:r>
          </w:p>
        </w:tc>
        <w:tc>
          <w:tcPr>
            <w:tcW w:w="3071" w:type="dxa"/>
            <w:shd w:val="clear" w:color="auto" w:fill="FABF8F" w:themeFill="accent6" w:themeFillTint="99"/>
            <w:vAlign w:val="center"/>
          </w:tcPr>
          <w:p w:rsidR="004A2909" w:rsidRPr="004A2909" w:rsidRDefault="004A2909" w:rsidP="004A2909">
            <w:pPr>
              <w:spacing w:before="0"/>
              <w:jc w:val="center"/>
              <w:rPr>
                <w:rFonts w:asciiTheme="minorHAnsi" w:hAnsiTheme="minorHAnsi"/>
                <w:b/>
                <w:sz w:val="22"/>
              </w:rPr>
            </w:pPr>
            <w:r w:rsidRPr="004A2909">
              <w:rPr>
                <w:rFonts w:asciiTheme="minorHAnsi" w:hAnsiTheme="minorHAnsi"/>
                <w:b/>
                <w:sz w:val="22"/>
              </w:rPr>
              <w:t>87.000,- Kč</w:t>
            </w:r>
          </w:p>
        </w:tc>
      </w:tr>
    </w:tbl>
    <w:p w:rsidR="003E04A0" w:rsidRDefault="003E04A0" w:rsidP="003E04A0">
      <w:pPr>
        <w:pStyle w:val="Nadpis3"/>
        <w:numPr>
          <w:ilvl w:val="0"/>
          <w:numId w:val="0"/>
        </w:numPr>
        <w:spacing w:before="0" w:after="240"/>
        <w:ind w:left="1080"/>
      </w:pPr>
      <w:bookmarkStart w:id="79" w:name="_Toc367278170"/>
    </w:p>
    <w:p w:rsidR="00227C94" w:rsidRDefault="00BE3B25" w:rsidP="008B6A7D">
      <w:pPr>
        <w:pStyle w:val="Nadpis3"/>
        <w:spacing w:before="0" w:after="240"/>
      </w:pPr>
      <w:r>
        <w:t>Celkové výdaje na sociální služby</w:t>
      </w:r>
      <w:bookmarkEnd w:id="79"/>
    </w:p>
    <w:p w:rsidR="00EC3E59" w:rsidRDefault="00972F85" w:rsidP="008B6A7D">
      <w:pPr>
        <w:spacing w:before="0" w:after="240"/>
      </w:pPr>
      <w:r>
        <w:t>Celkové výdaje na sociální služby ve městě Velké Meziříčí</w:t>
      </w:r>
      <w:r w:rsidR="00E73AAA">
        <w:t xml:space="preserve"> v letech 2012 a 2013 </w:t>
      </w:r>
      <w:r>
        <w:t>byly zaznamenány do tabulky č. 2</w:t>
      </w:r>
      <w:r w:rsidR="00594151">
        <w:t>7</w:t>
      </w:r>
      <w:r>
        <w:t xml:space="preserve">. </w:t>
      </w:r>
    </w:p>
    <w:p w:rsidR="00613182" w:rsidRDefault="00613182" w:rsidP="008B6A7D">
      <w:pPr>
        <w:spacing w:before="0" w:after="240"/>
      </w:pPr>
      <w:r>
        <w:t>Celková roční částka, která byla směřována do sociální oblasti Městem velké Meziříčí</w:t>
      </w:r>
      <w:r w:rsidR="00DB47DC">
        <w:t>,</w:t>
      </w:r>
      <w:r>
        <w:t xml:space="preserve"> činila za rok 2012 celkem 4 479 000Kč a v roce 2013 se jednalo o částku 6 315 000 Kč.</w:t>
      </w:r>
    </w:p>
    <w:p w:rsidR="006B4417" w:rsidRDefault="00E73AAA" w:rsidP="008B6A7D">
      <w:pPr>
        <w:spacing w:before="0" w:after="240"/>
      </w:pPr>
      <w:r>
        <w:t xml:space="preserve">Podíl </w:t>
      </w:r>
      <w:r w:rsidR="006B4417">
        <w:t xml:space="preserve">celkových výdajů na sociální služby ve vztahu k celkovému rozpočtu města Velké Meziříčí byl v roce </w:t>
      </w:r>
      <w:r>
        <w:t>2012</w:t>
      </w:r>
      <w:r w:rsidR="006B4417">
        <w:t xml:space="preserve"> celkem</w:t>
      </w:r>
      <w:r>
        <w:t> 2,6 %</w:t>
      </w:r>
      <w:r w:rsidR="006B4417">
        <w:t xml:space="preserve">, v roce 2013 tento podíl vzrostl na </w:t>
      </w:r>
      <w:r w:rsidR="0023297F">
        <w:t>3,9</w:t>
      </w:r>
      <w:r w:rsidR="003E04A0">
        <w:t> </w:t>
      </w:r>
      <w:r>
        <w:t xml:space="preserve">%. Výsledky jsou uvedeny v grafu č. 14. </w:t>
      </w:r>
    </w:p>
    <w:p w:rsidR="00E21482" w:rsidRDefault="006B4417" w:rsidP="008B6A7D">
      <w:pPr>
        <w:spacing w:before="0" w:after="240"/>
      </w:pPr>
      <w:r>
        <w:t xml:space="preserve">Také přepočet výdajů města do sociální oblasti ve vztahu k celkovému počtu obyvatel mezi léty 2012 a 2013 vzrost. Zatímco v roce 2012 činila celková částka směrována do sociální oblasti v přepočtu na jednoho obyvatele 381 Kč za rok, tak v roce 2013 se jednalo o částku 537 Kč za rok. </w:t>
      </w:r>
      <w:r w:rsidR="00E73AAA">
        <w:t>Přepočet č</w:t>
      </w:r>
      <w:r w:rsidR="0072544D">
        <w:t>ástky určené na sociální služby v přepočtu na jednoho obyvatele je uveden v grafu č. 15.</w:t>
      </w:r>
      <w:r w:rsidR="00E73AAA">
        <w:t xml:space="preserve">  </w:t>
      </w:r>
    </w:p>
    <w:p w:rsidR="00511BE7" w:rsidRPr="003E04A0" w:rsidRDefault="00511BE7" w:rsidP="00E21482">
      <w:pPr>
        <w:spacing w:before="0"/>
        <w:rPr>
          <w:sz w:val="10"/>
        </w:rPr>
      </w:pPr>
    </w:p>
    <w:p w:rsidR="000D1B33" w:rsidRPr="00E21482" w:rsidRDefault="000D1B33" w:rsidP="000D1B33">
      <w:pPr>
        <w:pStyle w:val="Titulek"/>
        <w:keepNext/>
        <w:rPr>
          <w:b w:val="0"/>
        </w:rPr>
      </w:pPr>
      <w:bookmarkStart w:id="80" w:name="_Toc367794871"/>
      <w:r>
        <w:t xml:space="preserve">Tabulka č. </w:t>
      </w:r>
      <w:r w:rsidR="00EE3646">
        <w:fldChar w:fldCharType="begin"/>
      </w:r>
      <w:r w:rsidR="00EE3646">
        <w:instrText xml:space="preserve"> SEQ Tabulka_č. \* ARABIC </w:instrText>
      </w:r>
      <w:r w:rsidR="00EE3646">
        <w:fldChar w:fldCharType="separate"/>
      </w:r>
      <w:r w:rsidR="00594151">
        <w:rPr>
          <w:noProof/>
        </w:rPr>
        <w:t>27</w:t>
      </w:r>
      <w:r w:rsidR="00EE3646">
        <w:rPr>
          <w:noProof/>
        </w:rPr>
        <w:fldChar w:fldCharType="end"/>
      </w:r>
      <w:r w:rsidR="00E21482">
        <w:rPr>
          <w:b w:val="0"/>
        </w:rPr>
        <w:t xml:space="preserve"> Financování sociálních služeb ve městě Velké Meziříčí</w:t>
      </w:r>
      <w:bookmarkEnd w:id="8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961"/>
        <w:gridCol w:w="1843"/>
        <w:gridCol w:w="1842"/>
      </w:tblGrid>
      <w:tr w:rsidR="002C50E8" w:rsidRPr="002C50E8" w:rsidTr="00ED3A43">
        <w:trPr>
          <w:trHeight w:val="449"/>
        </w:trPr>
        <w:tc>
          <w:tcPr>
            <w:tcW w:w="426" w:type="dxa"/>
            <w:shd w:val="clear" w:color="auto" w:fill="FFFFCC"/>
          </w:tcPr>
          <w:p w:rsidR="002C50E8" w:rsidRPr="002C50E8" w:rsidRDefault="002C50E8" w:rsidP="002C50E8">
            <w:pPr>
              <w:spacing w:before="0"/>
              <w:jc w:val="center"/>
              <w:rPr>
                <w:rFonts w:eastAsia="Times New Roman" w:cs="Arial"/>
                <w:b/>
                <w:sz w:val="20"/>
                <w:szCs w:val="20"/>
              </w:rPr>
            </w:pPr>
          </w:p>
        </w:tc>
        <w:tc>
          <w:tcPr>
            <w:tcW w:w="4961" w:type="dxa"/>
            <w:shd w:val="clear" w:color="auto" w:fill="FFFFCC"/>
            <w:vAlign w:val="center"/>
          </w:tcPr>
          <w:p w:rsidR="002C50E8" w:rsidRPr="002C50E8" w:rsidRDefault="002C50E8" w:rsidP="00ED3A43">
            <w:pPr>
              <w:spacing w:before="0"/>
              <w:jc w:val="center"/>
              <w:rPr>
                <w:rFonts w:eastAsia="Times New Roman" w:cs="Arial"/>
                <w:b/>
                <w:sz w:val="20"/>
                <w:szCs w:val="20"/>
              </w:rPr>
            </w:pPr>
            <w:r w:rsidRPr="002C50E8">
              <w:rPr>
                <w:rFonts w:eastAsia="Times New Roman" w:cs="Arial"/>
                <w:b/>
                <w:sz w:val="20"/>
                <w:szCs w:val="20"/>
              </w:rPr>
              <w:t>FINANCOVÁNÍ SOCIÁLNÍCH SLUŽEB</w:t>
            </w:r>
          </w:p>
        </w:tc>
        <w:tc>
          <w:tcPr>
            <w:tcW w:w="1843" w:type="dxa"/>
            <w:shd w:val="clear" w:color="auto" w:fill="FFFFCC"/>
            <w:vAlign w:val="center"/>
          </w:tcPr>
          <w:p w:rsidR="002C50E8" w:rsidRPr="002C50E8" w:rsidRDefault="002C50E8" w:rsidP="002C50E8">
            <w:pPr>
              <w:spacing w:before="0"/>
              <w:jc w:val="center"/>
              <w:rPr>
                <w:rFonts w:eastAsia="Times New Roman" w:cs="Arial"/>
                <w:b/>
                <w:sz w:val="20"/>
                <w:szCs w:val="20"/>
              </w:rPr>
            </w:pPr>
            <w:r w:rsidRPr="002C50E8">
              <w:rPr>
                <w:rFonts w:eastAsia="Times New Roman" w:cs="Arial"/>
                <w:b/>
                <w:sz w:val="20"/>
                <w:szCs w:val="20"/>
              </w:rPr>
              <w:t>2012</w:t>
            </w:r>
          </w:p>
        </w:tc>
        <w:tc>
          <w:tcPr>
            <w:tcW w:w="1842" w:type="dxa"/>
            <w:shd w:val="clear" w:color="auto" w:fill="FFFFCC"/>
            <w:vAlign w:val="center"/>
          </w:tcPr>
          <w:p w:rsidR="002C50E8" w:rsidRPr="002C50E8" w:rsidRDefault="002C50E8" w:rsidP="002C50E8">
            <w:pPr>
              <w:spacing w:before="0"/>
              <w:jc w:val="center"/>
              <w:rPr>
                <w:rFonts w:eastAsia="Times New Roman" w:cs="Arial"/>
                <w:b/>
                <w:sz w:val="20"/>
                <w:szCs w:val="20"/>
              </w:rPr>
            </w:pPr>
            <w:r w:rsidRPr="002C50E8">
              <w:rPr>
                <w:rFonts w:eastAsia="Times New Roman" w:cs="Arial"/>
                <w:b/>
                <w:sz w:val="20"/>
                <w:szCs w:val="20"/>
              </w:rPr>
              <w:t>2013</w:t>
            </w:r>
          </w:p>
        </w:tc>
      </w:tr>
      <w:tr w:rsidR="002C50E8" w:rsidRPr="002C50E8" w:rsidTr="00ED3A43">
        <w:trPr>
          <w:trHeight w:val="480"/>
        </w:trPr>
        <w:tc>
          <w:tcPr>
            <w:tcW w:w="426" w:type="dxa"/>
            <w:shd w:val="clear" w:color="auto" w:fill="CCFF99"/>
            <w:vAlign w:val="center"/>
          </w:tcPr>
          <w:p w:rsidR="002C50E8" w:rsidRPr="002C50E8" w:rsidRDefault="002C50E8" w:rsidP="002C50E8">
            <w:pPr>
              <w:tabs>
                <w:tab w:val="left" w:pos="0"/>
                <w:tab w:val="left" w:pos="34"/>
              </w:tabs>
              <w:spacing w:before="0"/>
              <w:jc w:val="center"/>
              <w:rPr>
                <w:rFonts w:eastAsia="Times New Roman" w:cs="Arial"/>
                <w:b/>
                <w:sz w:val="20"/>
                <w:szCs w:val="20"/>
              </w:rPr>
            </w:pPr>
            <w:r w:rsidRPr="002C50E8">
              <w:rPr>
                <w:rFonts w:eastAsia="Times New Roman" w:cs="Arial"/>
                <w:b/>
                <w:sz w:val="20"/>
                <w:szCs w:val="20"/>
              </w:rPr>
              <w:t>1.</w:t>
            </w:r>
          </w:p>
        </w:tc>
        <w:tc>
          <w:tcPr>
            <w:tcW w:w="4961" w:type="dxa"/>
            <w:shd w:val="clear" w:color="auto" w:fill="CCFF99"/>
            <w:vAlign w:val="center"/>
          </w:tcPr>
          <w:p w:rsidR="002C50E8" w:rsidRPr="00ED3A43" w:rsidRDefault="002C50E8" w:rsidP="00ED3A43">
            <w:pPr>
              <w:spacing w:before="0"/>
              <w:jc w:val="center"/>
              <w:rPr>
                <w:rFonts w:eastAsia="Times New Roman" w:cs="Arial"/>
                <w:sz w:val="20"/>
                <w:szCs w:val="20"/>
              </w:rPr>
            </w:pPr>
            <w:r w:rsidRPr="00ED3A43">
              <w:rPr>
                <w:rFonts w:eastAsia="Times New Roman" w:cs="Arial"/>
                <w:sz w:val="20"/>
                <w:szCs w:val="20"/>
              </w:rPr>
              <w:t>Celkový rozpočet města</w:t>
            </w:r>
          </w:p>
        </w:tc>
        <w:tc>
          <w:tcPr>
            <w:tcW w:w="1843" w:type="dxa"/>
            <w:vAlign w:val="center"/>
          </w:tcPr>
          <w:p w:rsidR="002C50E8" w:rsidRPr="002C50E8" w:rsidRDefault="002C50E8" w:rsidP="00ED3A43">
            <w:pPr>
              <w:spacing w:before="0"/>
              <w:jc w:val="center"/>
              <w:rPr>
                <w:rFonts w:eastAsia="Times New Roman" w:cs="Arial"/>
                <w:sz w:val="20"/>
                <w:szCs w:val="20"/>
              </w:rPr>
            </w:pPr>
            <w:r w:rsidRPr="002C50E8">
              <w:rPr>
                <w:rFonts w:eastAsia="Times New Roman" w:cs="Arial"/>
                <w:sz w:val="20"/>
                <w:szCs w:val="20"/>
              </w:rPr>
              <w:t>173.328.700,- Kč</w:t>
            </w:r>
          </w:p>
        </w:tc>
        <w:tc>
          <w:tcPr>
            <w:tcW w:w="1842" w:type="dxa"/>
            <w:vAlign w:val="center"/>
          </w:tcPr>
          <w:p w:rsidR="002C50E8" w:rsidRPr="002C50E8" w:rsidRDefault="002C50E8" w:rsidP="00ED3A43">
            <w:pPr>
              <w:spacing w:before="0"/>
              <w:jc w:val="center"/>
              <w:rPr>
                <w:rFonts w:eastAsia="Times New Roman" w:cs="Arial"/>
                <w:sz w:val="20"/>
                <w:szCs w:val="20"/>
              </w:rPr>
            </w:pPr>
            <w:r w:rsidRPr="002C50E8">
              <w:rPr>
                <w:rFonts w:eastAsia="Times New Roman" w:cs="Arial"/>
                <w:sz w:val="20"/>
                <w:szCs w:val="20"/>
              </w:rPr>
              <w:t>160.115.000, - Kč</w:t>
            </w:r>
          </w:p>
        </w:tc>
      </w:tr>
      <w:tr w:rsidR="002C50E8" w:rsidRPr="002C50E8" w:rsidTr="00ED3A43">
        <w:trPr>
          <w:trHeight w:val="490"/>
        </w:trPr>
        <w:tc>
          <w:tcPr>
            <w:tcW w:w="426" w:type="dxa"/>
            <w:shd w:val="clear" w:color="auto" w:fill="CCFF99"/>
            <w:vAlign w:val="center"/>
          </w:tcPr>
          <w:p w:rsidR="002C50E8" w:rsidRPr="002C50E8" w:rsidRDefault="002C50E8" w:rsidP="002C50E8">
            <w:pPr>
              <w:spacing w:before="0"/>
              <w:ind w:left="34"/>
              <w:contextualSpacing/>
              <w:jc w:val="left"/>
              <w:rPr>
                <w:rFonts w:eastAsia="Times New Roman" w:cs="Arial"/>
                <w:b/>
                <w:sz w:val="20"/>
                <w:szCs w:val="20"/>
              </w:rPr>
            </w:pPr>
            <w:r w:rsidRPr="002C50E8">
              <w:rPr>
                <w:rFonts w:eastAsia="Times New Roman" w:cs="Arial"/>
                <w:b/>
                <w:sz w:val="20"/>
                <w:szCs w:val="20"/>
              </w:rPr>
              <w:t>2.</w:t>
            </w:r>
          </w:p>
        </w:tc>
        <w:tc>
          <w:tcPr>
            <w:tcW w:w="4961" w:type="dxa"/>
            <w:shd w:val="clear" w:color="auto" w:fill="CCFF99"/>
            <w:vAlign w:val="center"/>
          </w:tcPr>
          <w:p w:rsidR="002C50E8" w:rsidRPr="00ED3A43" w:rsidRDefault="00C373FD" w:rsidP="00ED3A43">
            <w:pPr>
              <w:spacing w:before="0"/>
              <w:jc w:val="center"/>
              <w:rPr>
                <w:rFonts w:eastAsia="Times New Roman" w:cs="Arial"/>
                <w:sz w:val="20"/>
                <w:szCs w:val="20"/>
              </w:rPr>
            </w:pPr>
            <w:r w:rsidRPr="00ED3A43">
              <w:rPr>
                <w:rFonts w:eastAsia="Times New Roman" w:cs="Arial"/>
                <w:sz w:val="20"/>
                <w:szCs w:val="20"/>
              </w:rPr>
              <w:t>C</w:t>
            </w:r>
            <w:r w:rsidR="002C50E8" w:rsidRPr="00ED3A43">
              <w:rPr>
                <w:rFonts w:eastAsia="Times New Roman" w:cs="Arial"/>
                <w:sz w:val="20"/>
                <w:szCs w:val="20"/>
              </w:rPr>
              <w:t>elkov</w:t>
            </w:r>
            <w:r w:rsidRPr="00ED3A43">
              <w:rPr>
                <w:rFonts w:eastAsia="Times New Roman" w:cs="Arial"/>
                <w:sz w:val="20"/>
                <w:szCs w:val="20"/>
              </w:rPr>
              <w:t>á</w:t>
            </w:r>
            <w:r w:rsidR="002C50E8" w:rsidRPr="00ED3A43">
              <w:rPr>
                <w:rFonts w:eastAsia="Times New Roman" w:cs="Arial"/>
                <w:sz w:val="20"/>
                <w:szCs w:val="20"/>
              </w:rPr>
              <w:t xml:space="preserve"> roční částk</w:t>
            </w:r>
            <w:r w:rsidRPr="00ED3A43">
              <w:rPr>
                <w:rFonts w:eastAsia="Times New Roman" w:cs="Arial"/>
                <w:sz w:val="20"/>
                <w:szCs w:val="20"/>
              </w:rPr>
              <w:t>a určená</w:t>
            </w:r>
            <w:r w:rsidR="002C50E8" w:rsidRPr="00ED3A43">
              <w:rPr>
                <w:rFonts w:eastAsia="Times New Roman" w:cs="Arial"/>
                <w:sz w:val="20"/>
                <w:szCs w:val="20"/>
              </w:rPr>
              <w:t xml:space="preserve"> na sociální služby</w:t>
            </w:r>
          </w:p>
        </w:tc>
        <w:tc>
          <w:tcPr>
            <w:tcW w:w="1843" w:type="dxa"/>
            <w:vAlign w:val="center"/>
          </w:tcPr>
          <w:p w:rsidR="002C50E8" w:rsidRPr="002C50E8" w:rsidRDefault="002C50E8" w:rsidP="00ED3A43">
            <w:pPr>
              <w:spacing w:before="0" w:line="276" w:lineRule="auto"/>
              <w:jc w:val="center"/>
              <w:rPr>
                <w:rFonts w:eastAsia="Times New Roman" w:cs="Arial"/>
                <w:sz w:val="20"/>
              </w:rPr>
            </w:pPr>
            <w:r w:rsidRPr="002C50E8">
              <w:rPr>
                <w:rFonts w:eastAsia="Times New Roman" w:cs="Arial"/>
                <w:sz w:val="20"/>
              </w:rPr>
              <w:t>4.479.000,- Kč</w:t>
            </w:r>
          </w:p>
        </w:tc>
        <w:tc>
          <w:tcPr>
            <w:tcW w:w="1842" w:type="dxa"/>
            <w:vAlign w:val="center"/>
          </w:tcPr>
          <w:p w:rsidR="002C50E8" w:rsidRPr="002C50E8" w:rsidRDefault="002C50E8" w:rsidP="00ED3A43">
            <w:pPr>
              <w:spacing w:before="0" w:line="276" w:lineRule="auto"/>
              <w:jc w:val="center"/>
              <w:rPr>
                <w:rFonts w:eastAsia="Times New Roman" w:cs="Arial"/>
                <w:sz w:val="20"/>
              </w:rPr>
            </w:pPr>
            <w:r w:rsidRPr="002C50E8">
              <w:rPr>
                <w:rFonts w:eastAsia="Times New Roman" w:cs="Arial"/>
                <w:sz w:val="20"/>
              </w:rPr>
              <w:t>6.315.000,- Kč</w:t>
            </w:r>
          </w:p>
        </w:tc>
      </w:tr>
      <w:tr w:rsidR="002C50E8" w:rsidRPr="002C50E8" w:rsidTr="00ED3A43">
        <w:trPr>
          <w:trHeight w:val="695"/>
        </w:trPr>
        <w:tc>
          <w:tcPr>
            <w:tcW w:w="426" w:type="dxa"/>
            <w:shd w:val="clear" w:color="auto" w:fill="CCFF99"/>
            <w:vAlign w:val="center"/>
          </w:tcPr>
          <w:p w:rsidR="002C50E8" w:rsidRPr="002C50E8" w:rsidRDefault="002C50E8" w:rsidP="002C50E8">
            <w:pPr>
              <w:spacing w:before="0" w:after="120"/>
              <w:ind w:left="34"/>
              <w:contextualSpacing/>
              <w:jc w:val="left"/>
              <w:rPr>
                <w:rFonts w:eastAsia="Times New Roman" w:cs="Arial"/>
                <w:b/>
                <w:sz w:val="20"/>
                <w:szCs w:val="20"/>
              </w:rPr>
            </w:pPr>
            <w:r w:rsidRPr="002C50E8">
              <w:rPr>
                <w:rFonts w:eastAsia="Times New Roman" w:cs="Arial"/>
                <w:b/>
                <w:sz w:val="20"/>
                <w:szCs w:val="20"/>
              </w:rPr>
              <w:t>3.</w:t>
            </w:r>
          </w:p>
        </w:tc>
        <w:tc>
          <w:tcPr>
            <w:tcW w:w="4961" w:type="dxa"/>
            <w:shd w:val="clear" w:color="auto" w:fill="CCFF99"/>
            <w:vAlign w:val="center"/>
          </w:tcPr>
          <w:p w:rsidR="002C50E8" w:rsidRPr="00ED3A43" w:rsidRDefault="00C373FD" w:rsidP="00ED3A43">
            <w:pPr>
              <w:spacing w:before="0" w:after="120"/>
              <w:jc w:val="center"/>
              <w:rPr>
                <w:rFonts w:eastAsia="Times New Roman" w:cs="Arial"/>
                <w:sz w:val="20"/>
                <w:szCs w:val="20"/>
              </w:rPr>
            </w:pPr>
            <w:r w:rsidRPr="00ED3A43">
              <w:rPr>
                <w:rFonts w:eastAsia="Times New Roman" w:cs="Arial"/>
                <w:sz w:val="20"/>
                <w:szCs w:val="20"/>
              </w:rPr>
              <w:t>C</w:t>
            </w:r>
            <w:r w:rsidR="002C50E8" w:rsidRPr="00ED3A43">
              <w:rPr>
                <w:rFonts w:eastAsia="Times New Roman" w:cs="Arial"/>
                <w:sz w:val="20"/>
                <w:szCs w:val="20"/>
              </w:rPr>
              <w:t>elkov</w:t>
            </w:r>
            <w:r w:rsidRPr="00ED3A43">
              <w:rPr>
                <w:rFonts w:eastAsia="Times New Roman" w:cs="Arial"/>
                <w:sz w:val="20"/>
                <w:szCs w:val="20"/>
              </w:rPr>
              <w:t>á</w:t>
            </w:r>
            <w:r w:rsidR="002C50E8" w:rsidRPr="00ED3A43">
              <w:rPr>
                <w:rFonts w:eastAsia="Times New Roman" w:cs="Arial"/>
                <w:sz w:val="20"/>
                <w:szCs w:val="20"/>
              </w:rPr>
              <w:t xml:space="preserve"> roční částk</w:t>
            </w:r>
            <w:r w:rsidRPr="00ED3A43">
              <w:rPr>
                <w:rFonts w:eastAsia="Times New Roman" w:cs="Arial"/>
                <w:sz w:val="20"/>
                <w:szCs w:val="20"/>
              </w:rPr>
              <w:t>a</w:t>
            </w:r>
            <w:r w:rsidR="002C50E8" w:rsidRPr="00ED3A43">
              <w:rPr>
                <w:rFonts w:eastAsia="Times New Roman" w:cs="Arial"/>
                <w:sz w:val="20"/>
                <w:szCs w:val="20"/>
              </w:rPr>
              <w:t xml:space="preserve"> určen</w:t>
            </w:r>
            <w:r w:rsidRPr="00ED3A43">
              <w:rPr>
                <w:rFonts w:eastAsia="Times New Roman" w:cs="Arial"/>
                <w:sz w:val="20"/>
                <w:szCs w:val="20"/>
              </w:rPr>
              <w:t>á</w:t>
            </w:r>
            <w:r w:rsidR="002C50E8" w:rsidRPr="00ED3A43">
              <w:rPr>
                <w:rFonts w:eastAsia="Times New Roman" w:cs="Arial"/>
                <w:sz w:val="20"/>
                <w:szCs w:val="20"/>
              </w:rPr>
              <w:t xml:space="preserve"> na činnost příspěvkových organizací a organizačních složek města poskytujících sociální služby zřizovaných obcí.</w:t>
            </w:r>
          </w:p>
        </w:tc>
        <w:tc>
          <w:tcPr>
            <w:tcW w:w="1843" w:type="dxa"/>
            <w:vAlign w:val="center"/>
          </w:tcPr>
          <w:p w:rsidR="002C50E8" w:rsidRPr="002C50E8" w:rsidRDefault="002C50E8" w:rsidP="00ED3A43">
            <w:pPr>
              <w:spacing w:before="0" w:after="120"/>
              <w:jc w:val="center"/>
              <w:rPr>
                <w:rFonts w:eastAsia="Times New Roman" w:cs="Arial"/>
                <w:sz w:val="20"/>
                <w:szCs w:val="20"/>
              </w:rPr>
            </w:pPr>
            <w:r w:rsidRPr="002C50E8">
              <w:rPr>
                <w:rFonts w:eastAsia="Times New Roman" w:cs="Arial"/>
                <w:sz w:val="20"/>
                <w:szCs w:val="20"/>
              </w:rPr>
              <w:t>4.380.000,- Kč</w:t>
            </w:r>
          </w:p>
        </w:tc>
        <w:tc>
          <w:tcPr>
            <w:tcW w:w="1842" w:type="dxa"/>
            <w:vAlign w:val="center"/>
          </w:tcPr>
          <w:p w:rsidR="002C50E8" w:rsidRPr="002C50E8" w:rsidRDefault="002C50E8" w:rsidP="00ED3A43">
            <w:pPr>
              <w:spacing w:before="0" w:after="120"/>
              <w:jc w:val="center"/>
              <w:rPr>
                <w:rFonts w:eastAsia="Times New Roman" w:cs="Arial"/>
                <w:sz w:val="20"/>
                <w:szCs w:val="20"/>
              </w:rPr>
            </w:pPr>
            <w:r w:rsidRPr="002C50E8">
              <w:rPr>
                <w:rFonts w:eastAsia="Times New Roman" w:cs="Arial"/>
                <w:sz w:val="20"/>
                <w:szCs w:val="20"/>
              </w:rPr>
              <w:t>6.228.000,- Kč</w:t>
            </w:r>
          </w:p>
        </w:tc>
      </w:tr>
      <w:tr w:rsidR="002C50E8" w:rsidRPr="002C50E8" w:rsidTr="00ED3A43">
        <w:tc>
          <w:tcPr>
            <w:tcW w:w="426" w:type="dxa"/>
            <w:shd w:val="clear" w:color="auto" w:fill="CCFF99"/>
            <w:vAlign w:val="center"/>
          </w:tcPr>
          <w:p w:rsidR="002C50E8" w:rsidRPr="002C50E8" w:rsidRDefault="002C50E8" w:rsidP="002C50E8">
            <w:pPr>
              <w:spacing w:before="0" w:after="120"/>
              <w:jc w:val="left"/>
              <w:rPr>
                <w:rFonts w:eastAsia="Times New Roman" w:cs="Arial"/>
                <w:b/>
                <w:sz w:val="20"/>
                <w:szCs w:val="20"/>
              </w:rPr>
            </w:pPr>
            <w:r w:rsidRPr="002C50E8">
              <w:rPr>
                <w:rFonts w:eastAsia="Times New Roman" w:cs="Arial"/>
                <w:b/>
                <w:sz w:val="20"/>
                <w:szCs w:val="20"/>
              </w:rPr>
              <w:t>4.</w:t>
            </w:r>
          </w:p>
        </w:tc>
        <w:tc>
          <w:tcPr>
            <w:tcW w:w="4961" w:type="dxa"/>
            <w:shd w:val="clear" w:color="auto" w:fill="CCFF99"/>
            <w:vAlign w:val="center"/>
          </w:tcPr>
          <w:p w:rsidR="002C50E8" w:rsidRPr="00ED3A43" w:rsidRDefault="00A409D3" w:rsidP="00ED3A43">
            <w:pPr>
              <w:spacing w:before="0" w:after="120"/>
              <w:jc w:val="center"/>
              <w:rPr>
                <w:rFonts w:eastAsia="Times New Roman" w:cs="Arial"/>
                <w:sz w:val="20"/>
                <w:szCs w:val="20"/>
              </w:rPr>
            </w:pPr>
            <w:r w:rsidRPr="00ED3A43">
              <w:rPr>
                <w:rFonts w:eastAsia="Times New Roman" w:cs="Arial"/>
                <w:sz w:val="20"/>
                <w:szCs w:val="20"/>
              </w:rPr>
              <w:t>Celková</w:t>
            </w:r>
            <w:r w:rsidR="002C50E8" w:rsidRPr="00ED3A43">
              <w:rPr>
                <w:rFonts w:eastAsia="Times New Roman" w:cs="Arial"/>
                <w:sz w:val="20"/>
                <w:szCs w:val="20"/>
              </w:rPr>
              <w:t xml:space="preserve"> roční částk</w:t>
            </w:r>
            <w:r w:rsidRPr="00ED3A43">
              <w:rPr>
                <w:rFonts w:eastAsia="Times New Roman" w:cs="Arial"/>
                <w:sz w:val="20"/>
                <w:szCs w:val="20"/>
              </w:rPr>
              <w:t>a</w:t>
            </w:r>
            <w:r w:rsidR="002C50E8" w:rsidRPr="00ED3A43">
              <w:rPr>
                <w:rFonts w:eastAsia="Times New Roman" w:cs="Arial"/>
                <w:sz w:val="20"/>
                <w:szCs w:val="20"/>
              </w:rPr>
              <w:t xml:space="preserve"> určen</w:t>
            </w:r>
            <w:r w:rsidRPr="00ED3A43">
              <w:rPr>
                <w:rFonts w:eastAsia="Times New Roman" w:cs="Arial"/>
                <w:sz w:val="20"/>
                <w:szCs w:val="20"/>
              </w:rPr>
              <w:t>á</w:t>
            </w:r>
            <w:r w:rsidR="002C50E8" w:rsidRPr="00ED3A43">
              <w:rPr>
                <w:rFonts w:eastAsia="Times New Roman" w:cs="Arial"/>
                <w:sz w:val="20"/>
                <w:szCs w:val="20"/>
              </w:rPr>
              <w:t xml:space="preserve"> na příspěvky činnosti nestátních neziskových organizací (NNO) poskytující registrované sociální služby podle zákona 108/2006 Sb.</w:t>
            </w:r>
          </w:p>
        </w:tc>
        <w:tc>
          <w:tcPr>
            <w:tcW w:w="1843" w:type="dxa"/>
            <w:vAlign w:val="center"/>
          </w:tcPr>
          <w:p w:rsidR="002C50E8" w:rsidRPr="002C50E8" w:rsidRDefault="002C50E8" w:rsidP="00ED3A43">
            <w:pPr>
              <w:spacing w:before="0" w:after="120"/>
              <w:jc w:val="center"/>
              <w:rPr>
                <w:rFonts w:eastAsia="Times New Roman" w:cs="Arial"/>
                <w:sz w:val="20"/>
                <w:szCs w:val="20"/>
              </w:rPr>
            </w:pPr>
            <w:r w:rsidRPr="002C50E8">
              <w:rPr>
                <w:rFonts w:eastAsia="Times New Roman" w:cs="Arial"/>
                <w:sz w:val="20"/>
                <w:szCs w:val="20"/>
              </w:rPr>
              <w:t>99.000,- Kč</w:t>
            </w:r>
          </w:p>
        </w:tc>
        <w:tc>
          <w:tcPr>
            <w:tcW w:w="1842" w:type="dxa"/>
            <w:vAlign w:val="center"/>
          </w:tcPr>
          <w:p w:rsidR="002C50E8" w:rsidRPr="002C50E8" w:rsidRDefault="002C50E8" w:rsidP="00ED3A43">
            <w:pPr>
              <w:spacing w:before="0" w:after="120"/>
              <w:jc w:val="center"/>
              <w:rPr>
                <w:rFonts w:eastAsia="Times New Roman" w:cs="Arial"/>
                <w:sz w:val="20"/>
                <w:szCs w:val="20"/>
              </w:rPr>
            </w:pPr>
            <w:r w:rsidRPr="002C50E8">
              <w:rPr>
                <w:rFonts w:eastAsia="Times New Roman" w:cs="Arial"/>
                <w:sz w:val="20"/>
                <w:szCs w:val="20"/>
              </w:rPr>
              <w:t>87.000,- Kč</w:t>
            </w:r>
          </w:p>
        </w:tc>
      </w:tr>
    </w:tbl>
    <w:p w:rsidR="00E73AAA" w:rsidRDefault="00E73AAA" w:rsidP="00BE3B25">
      <w:pPr>
        <w:rPr>
          <w:lang w:eastAsia="cs-CZ"/>
        </w:rPr>
      </w:pPr>
    </w:p>
    <w:p w:rsidR="00F31863" w:rsidRPr="00313E48" w:rsidRDefault="00F31863" w:rsidP="00F31863">
      <w:pPr>
        <w:pStyle w:val="Titulek"/>
        <w:keepNext/>
        <w:jc w:val="left"/>
        <w:rPr>
          <w:b w:val="0"/>
        </w:rPr>
      </w:pPr>
      <w:bookmarkStart w:id="81" w:name="_Toc367357516"/>
      <w:r>
        <w:t xml:space="preserve">Graf č. </w:t>
      </w:r>
      <w:r w:rsidR="00EE3646">
        <w:fldChar w:fldCharType="begin"/>
      </w:r>
      <w:r w:rsidR="00EE3646">
        <w:instrText xml:space="preserve"> SEQ Graf_č. \* ARABIC </w:instrText>
      </w:r>
      <w:r w:rsidR="00EE3646">
        <w:fldChar w:fldCharType="separate"/>
      </w:r>
      <w:r w:rsidR="00B16210">
        <w:rPr>
          <w:noProof/>
        </w:rPr>
        <w:t>14</w:t>
      </w:r>
      <w:r w:rsidR="00EE3646">
        <w:rPr>
          <w:noProof/>
        </w:rPr>
        <w:fldChar w:fldCharType="end"/>
      </w:r>
      <w:r w:rsidR="00313E48">
        <w:t xml:space="preserve">: </w:t>
      </w:r>
      <w:r w:rsidR="00313E48">
        <w:rPr>
          <w:b w:val="0"/>
        </w:rPr>
        <w:t>Podíl částky na sociální služby na celkový rozpočet města.</w:t>
      </w:r>
      <w:bookmarkEnd w:id="81"/>
    </w:p>
    <w:p w:rsidR="00E73AAA" w:rsidRDefault="007022AC">
      <w:pPr>
        <w:spacing w:before="0" w:after="200" w:line="276" w:lineRule="auto"/>
        <w:jc w:val="left"/>
      </w:pPr>
      <w:r>
        <w:rPr>
          <w:noProof/>
          <w:lang w:eastAsia="cs-CZ"/>
        </w:rPr>
        <w:drawing>
          <wp:inline distT="0" distB="0" distL="0" distR="0" wp14:anchorId="1F587A35" wp14:editId="20550AD0">
            <wp:extent cx="5800725" cy="1657350"/>
            <wp:effectExtent l="0" t="0" r="9525" b="1905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2544D" w:rsidRDefault="0072544D" w:rsidP="0072544D">
      <w:pPr>
        <w:spacing w:before="0" w:line="276" w:lineRule="auto"/>
        <w:jc w:val="left"/>
      </w:pPr>
    </w:p>
    <w:p w:rsidR="00F31863" w:rsidRPr="00313E48" w:rsidRDefault="00F31863" w:rsidP="00F31863">
      <w:pPr>
        <w:pStyle w:val="Titulek"/>
        <w:keepNext/>
        <w:jc w:val="left"/>
        <w:rPr>
          <w:b w:val="0"/>
        </w:rPr>
      </w:pPr>
      <w:bookmarkStart w:id="82" w:name="_Toc367357517"/>
      <w:r>
        <w:t xml:space="preserve">Graf č. </w:t>
      </w:r>
      <w:r w:rsidR="00EE3646">
        <w:fldChar w:fldCharType="begin"/>
      </w:r>
      <w:r w:rsidR="00EE3646">
        <w:instrText xml:space="preserve"> SEQ Graf_č. \* ARABIC </w:instrText>
      </w:r>
      <w:r w:rsidR="00EE3646">
        <w:fldChar w:fldCharType="separate"/>
      </w:r>
      <w:r w:rsidR="00B16210">
        <w:rPr>
          <w:noProof/>
        </w:rPr>
        <w:t>15</w:t>
      </w:r>
      <w:r w:rsidR="00EE3646">
        <w:rPr>
          <w:noProof/>
        </w:rPr>
        <w:fldChar w:fldCharType="end"/>
      </w:r>
      <w:r w:rsidR="00313E48">
        <w:t xml:space="preserve">: </w:t>
      </w:r>
      <w:r w:rsidR="0072544D">
        <w:rPr>
          <w:b w:val="0"/>
        </w:rPr>
        <w:t>Č</w:t>
      </w:r>
      <w:r w:rsidR="00313E48">
        <w:rPr>
          <w:b w:val="0"/>
        </w:rPr>
        <w:t>ástk</w:t>
      </w:r>
      <w:r w:rsidR="0072544D">
        <w:rPr>
          <w:b w:val="0"/>
        </w:rPr>
        <w:t>a určená</w:t>
      </w:r>
      <w:r w:rsidR="00313E48">
        <w:rPr>
          <w:b w:val="0"/>
        </w:rPr>
        <w:t xml:space="preserve"> na sociální služby v přepočtu na jednoho obyvatele.</w:t>
      </w:r>
      <w:bookmarkEnd w:id="82"/>
    </w:p>
    <w:p w:rsidR="00581FEA" w:rsidRDefault="00F31863" w:rsidP="003E04A0">
      <w:pPr>
        <w:spacing w:before="0" w:after="200" w:line="276" w:lineRule="auto"/>
        <w:jc w:val="left"/>
      </w:pPr>
      <w:r>
        <w:rPr>
          <w:noProof/>
          <w:lang w:eastAsia="cs-CZ"/>
        </w:rPr>
        <w:drawing>
          <wp:inline distT="0" distB="0" distL="0" distR="0" wp14:anchorId="798C92F1" wp14:editId="20EE2F66">
            <wp:extent cx="5800725" cy="1724025"/>
            <wp:effectExtent l="0" t="0" r="9525" b="952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bookmarkStart w:id="83" w:name="_Toc367278171"/>
    </w:p>
    <w:p w:rsidR="00581FEA" w:rsidRPr="00581FEA" w:rsidRDefault="00581FEA" w:rsidP="00581FEA"/>
    <w:p w:rsidR="003E04A0" w:rsidRDefault="003E04A0">
      <w:pPr>
        <w:spacing w:before="0" w:after="200" w:line="276" w:lineRule="auto"/>
        <w:jc w:val="left"/>
        <w:rPr>
          <w:rFonts w:eastAsiaTheme="majorEastAsia" w:cstheme="majorBidi"/>
          <w:b/>
          <w:bCs/>
          <w:color w:val="548DD4" w:themeColor="text2" w:themeTint="99"/>
          <w:sz w:val="28"/>
          <w:szCs w:val="26"/>
        </w:rPr>
      </w:pPr>
      <w:r>
        <w:br w:type="page"/>
      </w:r>
    </w:p>
    <w:p w:rsidR="003D0F8B" w:rsidRDefault="003D0F8B" w:rsidP="00313E48">
      <w:pPr>
        <w:pStyle w:val="Nadpis2"/>
      </w:pPr>
      <w:r>
        <w:t>ANALÝZA CÍLOVÝCH SKUPIN UŽIVATELŮ</w:t>
      </w:r>
      <w:bookmarkEnd w:id="83"/>
      <w:r w:rsidR="000D1B33">
        <w:t xml:space="preserve"> SOCIÁLNÍCH SLUŽEB</w:t>
      </w:r>
    </w:p>
    <w:p w:rsidR="00A44453" w:rsidRDefault="00A44453" w:rsidP="00313E48">
      <w:pPr>
        <w:pStyle w:val="Nadpis3"/>
      </w:pPr>
      <w:bookmarkStart w:id="84" w:name="_Toc367278172"/>
      <w:r>
        <w:t>METODOLOGIE</w:t>
      </w:r>
      <w:bookmarkEnd w:id="84"/>
      <w:r>
        <w:t xml:space="preserve"> </w:t>
      </w:r>
    </w:p>
    <w:p w:rsidR="00A44453" w:rsidRPr="00B11B96" w:rsidRDefault="00A44453" w:rsidP="00A44453">
      <w:pPr>
        <w:rPr>
          <w:sz w:val="10"/>
        </w:rPr>
      </w:pPr>
    </w:p>
    <w:p w:rsidR="00A44453" w:rsidRDefault="00A44453" w:rsidP="00B11B96">
      <w:pPr>
        <w:spacing w:before="0" w:line="276" w:lineRule="auto"/>
        <w:rPr>
          <w:rFonts w:cs="Arial"/>
        </w:rPr>
      </w:pPr>
      <w:r>
        <w:t>Sběr dat probíhal prostřednictvím standardizovan</w:t>
      </w:r>
      <w:r w:rsidR="00ED3A43">
        <w:t>ého dotaz</w:t>
      </w:r>
      <w:r w:rsidR="00581FEA">
        <w:t>níku</w:t>
      </w:r>
      <w:r w:rsidR="00ED3A43">
        <w:t xml:space="preserve"> mezi tazatelem a </w:t>
      </w:r>
      <w:r>
        <w:t>respondentem. Z cílových skupin byli oslovováni senioři a osoby se zdravotním postižením, příp. osoby, které pečují o rodinného příslušníka či jinou blízkou osobu využívající sociální služby pro seniory nebo osoby, které pečují o rodinného příslušníka či jinou blízkou osobu se zdravotním postižením.</w:t>
      </w:r>
    </w:p>
    <w:p w:rsidR="00A44453" w:rsidRDefault="00A44453" w:rsidP="00B11B96">
      <w:pPr>
        <w:spacing w:before="0" w:line="276" w:lineRule="auto"/>
        <w:rPr>
          <w:rFonts w:cs="Arial"/>
        </w:rPr>
      </w:pPr>
      <w:r>
        <w:rPr>
          <w:rFonts w:cs="Arial"/>
        </w:rPr>
        <w:t xml:space="preserve">Dotazník pro seniory vyplnilo celkem </w:t>
      </w:r>
      <w:r w:rsidRPr="005B5206">
        <w:rPr>
          <w:rFonts w:cs="Arial"/>
        </w:rPr>
        <w:t>142 respondentů</w:t>
      </w:r>
      <w:r>
        <w:rPr>
          <w:rFonts w:cs="Arial"/>
        </w:rPr>
        <w:t>, pro osoby se zdravotním postižením celkem 137 respondentů.</w:t>
      </w:r>
    </w:p>
    <w:p w:rsidR="009E33EE" w:rsidRPr="00841A43" w:rsidRDefault="00A03E6F" w:rsidP="00313E48">
      <w:pPr>
        <w:pStyle w:val="Nadpis3"/>
      </w:pPr>
      <w:bookmarkStart w:id="85" w:name="_Toc367278173"/>
      <w:r>
        <w:t>VYHODNOCENÍ DOTAZ</w:t>
      </w:r>
      <w:r w:rsidR="00581FEA">
        <w:t xml:space="preserve">NÍKŮ </w:t>
      </w:r>
      <w:r>
        <w:t>PRO SENIORY</w:t>
      </w:r>
      <w:bookmarkEnd w:id="85"/>
    </w:p>
    <w:p w:rsidR="009228F2" w:rsidRPr="00B11B96" w:rsidRDefault="009228F2" w:rsidP="00BC018C">
      <w:pPr>
        <w:spacing w:before="0"/>
        <w:rPr>
          <w:sz w:val="12"/>
        </w:rPr>
      </w:pPr>
    </w:p>
    <w:p w:rsidR="000169D5" w:rsidRDefault="009228F2" w:rsidP="000169D5">
      <w:r>
        <w:t xml:space="preserve">Následující tabulka č. </w:t>
      </w:r>
      <w:r w:rsidR="00703B7B">
        <w:t>2</w:t>
      </w:r>
      <w:r w:rsidR="00594151">
        <w:t>8</w:t>
      </w:r>
      <w:r w:rsidR="00ED3A43">
        <w:t xml:space="preserve"> </w:t>
      </w:r>
      <w:r>
        <w:t>dokumentuje strukturu výběrového sou</w:t>
      </w:r>
      <w:r w:rsidR="00703B7B">
        <w:t xml:space="preserve">boru respondentů podle sociálně </w:t>
      </w:r>
      <w:r>
        <w:t>demografických charakteristik.</w:t>
      </w:r>
      <w:r w:rsidR="00703B7B">
        <w:t xml:space="preserve"> </w:t>
      </w:r>
    </w:p>
    <w:p w:rsidR="009228F2" w:rsidRDefault="009228F2" w:rsidP="000169D5"/>
    <w:p w:rsidR="00494725" w:rsidRDefault="00494725" w:rsidP="00494725">
      <w:pPr>
        <w:pStyle w:val="Titulek"/>
        <w:keepNext/>
      </w:pPr>
      <w:bookmarkStart w:id="86" w:name="_Toc367794872"/>
      <w:r>
        <w:t xml:space="preserve">Tabulka č. </w:t>
      </w:r>
      <w:r w:rsidR="00EE3646">
        <w:fldChar w:fldCharType="begin"/>
      </w:r>
      <w:r w:rsidR="00EE3646">
        <w:instrText xml:space="preserve"> SEQ Tabulka_č. \* ARABIC </w:instrText>
      </w:r>
      <w:r w:rsidR="00EE3646">
        <w:fldChar w:fldCharType="separate"/>
      </w:r>
      <w:r w:rsidR="00594151">
        <w:rPr>
          <w:noProof/>
        </w:rPr>
        <w:t>28</w:t>
      </w:r>
      <w:r w:rsidR="00EE3646">
        <w:rPr>
          <w:noProof/>
        </w:rPr>
        <w:fldChar w:fldCharType="end"/>
      </w:r>
      <w:r>
        <w:t xml:space="preserve">: </w:t>
      </w:r>
      <w:r>
        <w:rPr>
          <w:b w:val="0"/>
        </w:rPr>
        <w:t>Základní charakteristiky respondentů.</w:t>
      </w:r>
      <w:bookmarkEnd w:id="86"/>
    </w:p>
    <w:tbl>
      <w:tblPr>
        <w:tblStyle w:val="Mkatabulky"/>
        <w:tblW w:w="0" w:type="auto"/>
        <w:tblLook w:val="04A0" w:firstRow="1" w:lastRow="0" w:firstColumn="1" w:lastColumn="0" w:noHBand="0" w:noVBand="1"/>
      </w:tblPr>
      <w:tblGrid>
        <w:gridCol w:w="1297"/>
        <w:gridCol w:w="3940"/>
        <w:gridCol w:w="2113"/>
        <w:gridCol w:w="1938"/>
      </w:tblGrid>
      <w:tr w:rsidR="000169D5" w:rsidRPr="00014645" w:rsidTr="00C50D06">
        <w:trPr>
          <w:trHeight w:val="377"/>
        </w:trPr>
        <w:tc>
          <w:tcPr>
            <w:tcW w:w="1297" w:type="dxa"/>
            <w:vMerge w:val="restart"/>
            <w:tcBorders>
              <w:top w:val="double" w:sz="4" w:space="0" w:color="auto"/>
              <w:left w:val="double" w:sz="4" w:space="0" w:color="auto"/>
            </w:tcBorders>
            <w:shd w:val="clear" w:color="auto" w:fill="F9AD6F"/>
            <w:vAlign w:val="center"/>
          </w:tcPr>
          <w:p w:rsidR="000169D5" w:rsidRDefault="000169D5" w:rsidP="007C195E">
            <w:pPr>
              <w:spacing w:before="0"/>
              <w:jc w:val="center"/>
              <w:rPr>
                <w:rFonts w:cs="Arial"/>
                <w:b/>
                <w:szCs w:val="24"/>
              </w:rPr>
            </w:pPr>
            <w:r>
              <w:rPr>
                <w:rFonts w:cs="Arial"/>
                <w:b/>
                <w:szCs w:val="24"/>
              </w:rPr>
              <w:t>Ukazatel</w:t>
            </w:r>
          </w:p>
        </w:tc>
        <w:tc>
          <w:tcPr>
            <w:tcW w:w="3940" w:type="dxa"/>
            <w:vMerge w:val="restart"/>
            <w:tcBorders>
              <w:top w:val="double" w:sz="4" w:space="0" w:color="auto"/>
              <w:left w:val="double" w:sz="4" w:space="0" w:color="auto"/>
              <w:right w:val="double" w:sz="4" w:space="0" w:color="auto"/>
            </w:tcBorders>
            <w:shd w:val="clear" w:color="auto" w:fill="F9AD6F"/>
            <w:vAlign w:val="center"/>
          </w:tcPr>
          <w:p w:rsidR="000169D5" w:rsidRPr="00FA680B" w:rsidRDefault="000169D5" w:rsidP="007C195E">
            <w:pPr>
              <w:spacing w:before="0"/>
              <w:jc w:val="center"/>
              <w:rPr>
                <w:rFonts w:cs="Arial"/>
                <w:b/>
                <w:szCs w:val="24"/>
              </w:rPr>
            </w:pPr>
            <w:r>
              <w:rPr>
                <w:rFonts w:cs="Arial"/>
                <w:b/>
                <w:szCs w:val="24"/>
              </w:rPr>
              <w:t>Charakteristika</w:t>
            </w:r>
          </w:p>
        </w:tc>
        <w:tc>
          <w:tcPr>
            <w:tcW w:w="4051" w:type="dxa"/>
            <w:gridSpan w:val="2"/>
            <w:tcBorders>
              <w:top w:val="double" w:sz="4" w:space="0" w:color="auto"/>
              <w:left w:val="double" w:sz="4" w:space="0" w:color="auto"/>
              <w:bottom w:val="single" w:sz="4" w:space="0" w:color="auto"/>
              <w:right w:val="double" w:sz="4" w:space="0" w:color="auto"/>
            </w:tcBorders>
            <w:shd w:val="clear" w:color="auto" w:fill="F9AD6F"/>
            <w:vAlign w:val="center"/>
          </w:tcPr>
          <w:p w:rsidR="000169D5" w:rsidRPr="00ED5457" w:rsidRDefault="000169D5" w:rsidP="007C195E">
            <w:pPr>
              <w:spacing w:before="0"/>
              <w:jc w:val="center"/>
              <w:rPr>
                <w:rFonts w:cs="Arial"/>
                <w:b/>
                <w:szCs w:val="24"/>
              </w:rPr>
            </w:pPr>
            <w:r w:rsidRPr="00ED5457">
              <w:rPr>
                <w:rFonts w:cs="Arial"/>
                <w:b/>
                <w:szCs w:val="24"/>
              </w:rPr>
              <w:t>Počet respondentů</w:t>
            </w:r>
          </w:p>
        </w:tc>
      </w:tr>
      <w:tr w:rsidR="000169D5" w:rsidRPr="00014645" w:rsidTr="00C50D06">
        <w:trPr>
          <w:trHeight w:val="376"/>
        </w:trPr>
        <w:tc>
          <w:tcPr>
            <w:tcW w:w="1297" w:type="dxa"/>
            <w:vMerge/>
            <w:tcBorders>
              <w:left w:val="double" w:sz="4" w:space="0" w:color="auto"/>
              <w:bottom w:val="double" w:sz="4" w:space="0" w:color="auto"/>
            </w:tcBorders>
            <w:shd w:val="clear" w:color="auto" w:fill="EB7D05"/>
            <w:vAlign w:val="center"/>
          </w:tcPr>
          <w:p w:rsidR="000169D5" w:rsidRDefault="000169D5" w:rsidP="007C195E">
            <w:pPr>
              <w:spacing w:before="0"/>
              <w:jc w:val="center"/>
              <w:rPr>
                <w:rFonts w:cs="Arial"/>
                <w:b/>
                <w:szCs w:val="24"/>
              </w:rPr>
            </w:pPr>
          </w:p>
        </w:tc>
        <w:tc>
          <w:tcPr>
            <w:tcW w:w="3940" w:type="dxa"/>
            <w:vMerge/>
            <w:tcBorders>
              <w:left w:val="double" w:sz="4" w:space="0" w:color="auto"/>
              <w:bottom w:val="double" w:sz="4" w:space="0" w:color="auto"/>
              <w:right w:val="double" w:sz="4" w:space="0" w:color="auto"/>
            </w:tcBorders>
            <w:shd w:val="clear" w:color="auto" w:fill="EB7D05"/>
            <w:vAlign w:val="center"/>
          </w:tcPr>
          <w:p w:rsidR="000169D5" w:rsidRDefault="000169D5" w:rsidP="007C195E">
            <w:pPr>
              <w:spacing w:before="0"/>
              <w:jc w:val="center"/>
              <w:rPr>
                <w:rFonts w:cs="Arial"/>
                <w:b/>
                <w:szCs w:val="24"/>
              </w:rPr>
            </w:pPr>
          </w:p>
        </w:tc>
        <w:tc>
          <w:tcPr>
            <w:tcW w:w="2113" w:type="dxa"/>
            <w:tcBorders>
              <w:top w:val="single" w:sz="4" w:space="0" w:color="auto"/>
              <w:left w:val="double" w:sz="4" w:space="0" w:color="auto"/>
              <w:bottom w:val="double" w:sz="4" w:space="0" w:color="auto"/>
            </w:tcBorders>
            <w:shd w:val="clear" w:color="auto" w:fill="F9AD6F"/>
            <w:vAlign w:val="center"/>
          </w:tcPr>
          <w:p w:rsidR="000169D5" w:rsidRPr="00014645" w:rsidRDefault="000169D5" w:rsidP="007C195E">
            <w:pPr>
              <w:spacing w:before="0"/>
              <w:jc w:val="center"/>
              <w:rPr>
                <w:rFonts w:cs="Arial"/>
                <w:szCs w:val="24"/>
              </w:rPr>
            </w:pPr>
            <w:r>
              <w:rPr>
                <w:rFonts w:cs="Arial"/>
                <w:szCs w:val="24"/>
              </w:rPr>
              <w:t>Absolutní</w:t>
            </w:r>
          </w:p>
        </w:tc>
        <w:tc>
          <w:tcPr>
            <w:tcW w:w="1938" w:type="dxa"/>
            <w:tcBorders>
              <w:top w:val="single" w:sz="4" w:space="0" w:color="auto"/>
              <w:bottom w:val="double" w:sz="4" w:space="0" w:color="auto"/>
              <w:right w:val="double" w:sz="4" w:space="0" w:color="auto"/>
            </w:tcBorders>
            <w:shd w:val="clear" w:color="auto" w:fill="F9AD6F"/>
            <w:vAlign w:val="center"/>
          </w:tcPr>
          <w:p w:rsidR="000169D5" w:rsidRPr="00014645" w:rsidRDefault="000169D5" w:rsidP="007C195E">
            <w:pPr>
              <w:spacing w:before="0"/>
              <w:jc w:val="center"/>
              <w:rPr>
                <w:rFonts w:cs="Arial"/>
                <w:szCs w:val="24"/>
              </w:rPr>
            </w:pPr>
            <w:r>
              <w:rPr>
                <w:rFonts w:cs="Arial"/>
                <w:szCs w:val="24"/>
              </w:rPr>
              <w:t>Relativní (v %)</w:t>
            </w:r>
          </w:p>
        </w:tc>
      </w:tr>
      <w:tr w:rsidR="000169D5" w:rsidRPr="00014645" w:rsidTr="009228F2">
        <w:trPr>
          <w:trHeight w:val="274"/>
        </w:trPr>
        <w:tc>
          <w:tcPr>
            <w:tcW w:w="1297" w:type="dxa"/>
            <w:vMerge w:val="restart"/>
            <w:tcBorders>
              <w:top w:val="double" w:sz="4" w:space="0" w:color="auto"/>
              <w:left w:val="double" w:sz="4" w:space="0" w:color="auto"/>
              <w:right w:val="double" w:sz="6" w:space="0" w:color="auto"/>
            </w:tcBorders>
            <w:shd w:val="clear" w:color="auto" w:fill="F9AD6F"/>
            <w:vAlign w:val="center"/>
          </w:tcPr>
          <w:p w:rsidR="000169D5" w:rsidRPr="00ED5457" w:rsidRDefault="000169D5" w:rsidP="007C195E">
            <w:pPr>
              <w:spacing w:before="0"/>
              <w:jc w:val="center"/>
              <w:rPr>
                <w:rFonts w:cs="Arial"/>
                <w:sz w:val="22"/>
                <w:szCs w:val="24"/>
              </w:rPr>
            </w:pPr>
            <w:r w:rsidRPr="00ED5457">
              <w:rPr>
                <w:rFonts w:cs="Arial"/>
                <w:b/>
                <w:sz w:val="22"/>
                <w:szCs w:val="24"/>
              </w:rPr>
              <w:t>Pohlaví</w:t>
            </w:r>
          </w:p>
        </w:tc>
        <w:tc>
          <w:tcPr>
            <w:tcW w:w="3940" w:type="dxa"/>
            <w:tcBorders>
              <w:top w:val="double" w:sz="4" w:space="0" w:color="auto"/>
              <w:left w:val="double" w:sz="6" w:space="0" w:color="auto"/>
            </w:tcBorders>
            <w:shd w:val="clear" w:color="auto" w:fill="FDE9D9" w:themeFill="accent6" w:themeFillTint="33"/>
            <w:vAlign w:val="center"/>
          </w:tcPr>
          <w:p w:rsidR="000169D5" w:rsidRPr="00BC018C" w:rsidRDefault="000169D5" w:rsidP="007C195E">
            <w:pPr>
              <w:spacing w:before="0"/>
              <w:jc w:val="left"/>
              <w:rPr>
                <w:rFonts w:cs="Arial"/>
                <w:sz w:val="22"/>
              </w:rPr>
            </w:pPr>
            <w:r w:rsidRPr="00BC018C">
              <w:rPr>
                <w:rFonts w:cs="Arial"/>
                <w:sz w:val="22"/>
              </w:rPr>
              <w:t>Muži</w:t>
            </w:r>
          </w:p>
        </w:tc>
        <w:tc>
          <w:tcPr>
            <w:tcW w:w="2113" w:type="dxa"/>
            <w:tcBorders>
              <w:top w:val="double" w:sz="4" w:space="0" w:color="auto"/>
            </w:tcBorders>
            <w:shd w:val="clear" w:color="auto" w:fill="FFFF99"/>
            <w:vAlign w:val="center"/>
          </w:tcPr>
          <w:p w:rsidR="000169D5" w:rsidRPr="00BC018C" w:rsidRDefault="00EF3945" w:rsidP="007C195E">
            <w:pPr>
              <w:spacing w:before="0"/>
              <w:jc w:val="center"/>
              <w:rPr>
                <w:rFonts w:cs="Arial"/>
                <w:sz w:val="22"/>
              </w:rPr>
            </w:pPr>
            <w:r w:rsidRPr="00BC018C">
              <w:rPr>
                <w:rFonts w:cs="Arial"/>
                <w:sz w:val="22"/>
              </w:rPr>
              <w:t>51</w:t>
            </w:r>
          </w:p>
        </w:tc>
        <w:tc>
          <w:tcPr>
            <w:tcW w:w="1938" w:type="dxa"/>
            <w:tcBorders>
              <w:top w:val="doub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36,2</w:t>
            </w:r>
          </w:p>
        </w:tc>
      </w:tr>
      <w:tr w:rsidR="000169D5" w:rsidRPr="00014645" w:rsidTr="009228F2">
        <w:trPr>
          <w:trHeight w:val="286"/>
        </w:trPr>
        <w:tc>
          <w:tcPr>
            <w:tcW w:w="1297" w:type="dxa"/>
            <w:vMerge/>
            <w:tcBorders>
              <w:left w:val="double" w:sz="4" w:space="0" w:color="auto"/>
              <w:bottom w:val="double" w:sz="4" w:space="0" w:color="auto"/>
              <w:right w:val="double" w:sz="6" w:space="0" w:color="auto"/>
            </w:tcBorders>
            <w:shd w:val="clear" w:color="auto" w:fill="F9AD6F"/>
            <w:vAlign w:val="center"/>
          </w:tcPr>
          <w:p w:rsidR="000169D5" w:rsidRPr="00ED5457" w:rsidRDefault="000169D5" w:rsidP="007C195E">
            <w:pPr>
              <w:spacing w:before="0"/>
              <w:jc w:val="center"/>
              <w:rPr>
                <w:rFonts w:cs="Arial"/>
                <w:sz w:val="22"/>
                <w:szCs w:val="24"/>
              </w:rPr>
            </w:pPr>
          </w:p>
        </w:tc>
        <w:tc>
          <w:tcPr>
            <w:tcW w:w="3940" w:type="dxa"/>
            <w:tcBorders>
              <w:left w:val="double" w:sz="6" w:space="0" w:color="auto"/>
              <w:bottom w:val="double" w:sz="4" w:space="0" w:color="auto"/>
            </w:tcBorders>
            <w:shd w:val="clear" w:color="auto" w:fill="FDE9D9" w:themeFill="accent6" w:themeFillTint="33"/>
            <w:vAlign w:val="center"/>
          </w:tcPr>
          <w:p w:rsidR="000169D5" w:rsidRPr="00BC018C" w:rsidRDefault="000169D5" w:rsidP="007C195E">
            <w:pPr>
              <w:spacing w:before="0"/>
              <w:jc w:val="left"/>
              <w:rPr>
                <w:rFonts w:cs="Arial"/>
                <w:sz w:val="22"/>
              </w:rPr>
            </w:pPr>
            <w:r w:rsidRPr="00BC018C">
              <w:rPr>
                <w:rFonts w:cs="Arial"/>
                <w:sz w:val="22"/>
              </w:rPr>
              <w:t>Ženy</w:t>
            </w:r>
          </w:p>
        </w:tc>
        <w:tc>
          <w:tcPr>
            <w:tcW w:w="2113" w:type="dxa"/>
            <w:tcBorders>
              <w:bottom w:val="double" w:sz="4" w:space="0" w:color="auto"/>
            </w:tcBorders>
            <w:shd w:val="clear" w:color="auto" w:fill="FFFF99"/>
            <w:vAlign w:val="center"/>
          </w:tcPr>
          <w:p w:rsidR="000169D5" w:rsidRPr="00BC018C" w:rsidRDefault="00EF3945" w:rsidP="007C195E">
            <w:pPr>
              <w:spacing w:before="0"/>
              <w:jc w:val="center"/>
              <w:rPr>
                <w:rFonts w:cs="Arial"/>
                <w:sz w:val="22"/>
              </w:rPr>
            </w:pPr>
            <w:r w:rsidRPr="00BC018C">
              <w:rPr>
                <w:rFonts w:cs="Arial"/>
                <w:sz w:val="22"/>
              </w:rPr>
              <w:t>90</w:t>
            </w:r>
          </w:p>
        </w:tc>
        <w:tc>
          <w:tcPr>
            <w:tcW w:w="1938" w:type="dxa"/>
            <w:tcBorders>
              <w:bottom w:val="doub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63,8</w:t>
            </w:r>
          </w:p>
        </w:tc>
      </w:tr>
      <w:tr w:rsidR="000169D5" w:rsidRPr="00014645" w:rsidTr="009228F2">
        <w:tc>
          <w:tcPr>
            <w:tcW w:w="1297" w:type="dxa"/>
            <w:vMerge w:val="restart"/>
            <w:tcBorders>
              <w:top w:val="double" w:sz="4" w:space="0" w:color="auto"/>
              <w:left w:val="double" w:sz="4" w:space="0" w:color="auto"/>
              <w:right w:val="double" w:sz="6" w:space="0" w:color="auto"/>
            </w:tcBorders>
            <w:shd w:val="clear" w:color="auto" w:fill="F9AD6F"/>
            <w:textDirection w:val="btLr"/>
            <w:vAlign w:val="center"/>
          </w:tcPr>
          <w:p w:rsidR="000169D5" w:rsidRPr="00014645" w:rsidRDefault="000169D5" w:rsidP="007C195E">
            <w:pPr>
              <w:spacing w:before="0"/>
              <w:ind w:left="113" w:right="113"/>
              <w:jc w:val="center"/>
              <w:rPr>
                <w:rFonts w:cs="Arial"/>
                <w:szCs w:val="24"/>
              </w:rPr>
            </w:pPr>
            <w:r w:rsidRPr="00ED5457">
              <w:rPr>
                <w:rFonts w:cs="Arial"/>
                <w:b/>
                <w:szCs w:val="24"/>
              </w:rPr>
              <w:t>Věk</w:t>
            </w:r>
          </w:p>
        </w:tc>
        <w:tc>
          <w:tcPr>
            <w:tcW w:w="3940" w:type="dxa"/>
            <w:tcBorders>
              <w:top w:val="double" w:sz="4" w:space="0" w:color="auto"/>
              <w:left w:val="double" w:sz="6" w:space="0" w:color="auto"/>
              <w:bottom w:val="single" w:sz="4" w:space="0" w:color="auto"/>
            </w:tcBorders>
            <w:shd w:val="clear" w:color="auto" w:fill="FDE9D9" w:themeFill="accent6" w:themeFillTint="33"/>
            <w:vAlign w:val="center"/>
          </w:tcPr>
          <w:p w:rsidR="000169D5" w:rsidRPr="00BC018C" w:rsidRDefault="000169D5" w:rsidP="007C195E">
            <w:pPr>
              <w:spacing w:before="0"/>
              <w:jc w:val="left"/>
              <w:rPr>
                <w:rFonts w:cs="Arial"/>
                <w:sz w:val="22"/>
              </w:rPr>
            </w:pPr>
            <w:r w:rsidRPr="00BC018C">
              <w:rPr>
                <w:rFonts w:cs="Arial"/>
                <w:sz w:val="22"/>
              </w:rPr>
              <w:t>18-29 let</w:t>
            </w:r>
          </w:p>
        </w:tc>
        <w:tc>
          <w:tcPr>
            <w:tcW w:w="2113" w:type="dxa"/>
            <w:tcBorders>
              <w:top w:val="double" w:sz="4" w:space="0" w:color="auto"/>
              <w:bottom w:val="sing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1</w:t>
            </w:r>
          </w:p>
        </w:tc>
        <w:tc>
          <w:tcPr>
            <w:tcW w:w="1938" w:type="dxa"/>
            <w:tcBorders>
              <w:top w:val="double" w:sz="4" w:space="0" w:color="auto"/>
              <w:bottom w:val="sing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0,7</w:t>
            </w:r>
          </w:p>
        </w:tc>
      </w:tr>
      <w:tr w:rsidR="000169D5" w:rsidRPr="00014645" w:rsidTr="009228F2">
        <w:tc>
          <w:tcPr>
            <w:tcW w:w="1297" w:type="dxa"/>
            <w:vMerge/>
            <w:tcBorders>
              <w:left w:val="double" w:sz="4" w:space="0" w:color="auto"/>
              <w:right w:val="double" w:sz="6" w:space="0" w:color="auto"/>
            </w:tcBorders>
            <w:shd w:val="clear" w:color="auto" w:fill="F9AD6F"/>
          </w:tcPr>
          <w:p w:rsidR="000169D5" w:rsidRPr="00014645" w:rsidRDefault="000169D5"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0169D5" w:rsidRPr="00BC018C" w:rsidRDefault="000169D5" w:rsidP="000169D5">
            <w:pPr>
              <w:spacing w:before="0"/>
              <w:jc w:val="left"/>
              <w:rPr>
                <w:rFonts w:cs="Arial"/>
                <w:sz w:val="22"/>
              </w:rPr>
            </w:pPr>
            <w:r w:rsidRPr="00BC018C">
              <w:rPr>
                <w:rFonts w:cs="Arial"/>
                <w:sz w:val="22"/>
              </w:rPr>
              <w:t>30-49 let</w:t>
            </w:r>
          </w:p>
        </w:tc>
        <w:tc>
          <w:tcPr>
            <w:tcW w:w="2113" w:type="dxa"/>
            <w:tcBorders>
              <w:top w:val="single" w:sz="4" w:space="0" w:color="auto"/>
              <w:bottom w:val="sing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1</w:t>
            </w:r>
          </w:p>
        </w:tc>
        <w:tc>
          <w:tcPr>
            <w:tcW w:w="1938" w:type="dxa"/>
            <w:tcBorders>
              <w:top w:val="single" w:sz="4" w:space="0" w:color="auto"/>
              <w:bottom w:val="sing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0,7</w:t>
            </w:r>
          </w:p>
        </w:tc>
      </w:tr>
      <w:tr w:rsidR="000169D5" w:rsidRPr="00014645" w:rsidTr="009228F2">
        <w:tc>
          <w:tcPr>
            <w:tcW w:w="1297" w:type="dxa"/>
            <w:vMerge/>
            <w:tcBorders>
              <w:left w:val="double" w:sz="4" w:space="0" w:color="auto"/>
              <w:right w:val="double" w:sz="6" w:space="0" w:color="auto"/>
            </w:tcBorders>
            <w:shd w:val="clear" w:color="auto" w:fill="F9AD6F"/>
          </w:tcPr>
          <w:p w:rsidR="000169D5" w:rsidRPr="00014645" w:rsidRDefault="000169D5"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0169D5" w:rsidRPr="00BC018C" w:rsidRDefault="000169D5" w:rsidP="007C195E">
            <w:pPr>
              <w:spacing w:before="0"/>
              <w:jc w:val="left"/>
              <w:rPr>
                <w:rFonts w:cs="Arial"/>
                <w:sz w:val="22"/>
              </w:rPr>
            </w:pPr>
            <w:r w:rsidRPr="00BC018C">
              <w:rPr>
                <w:rFonts w:cs="Arial"/>
                <w:sz w:val="22"/>
              </w:rPr>
              <w:t>50-59 let</w:t>
            </w:r>
          </w:p>
        </w:tc>
        <w:tc>
          <w:tcPr>
            <w:tcW w:w="2113" w:type="dxa"/>
            <w:tcBorders>
              <w:top w:val="single" w:sz="4" w:space="0" w:color="auto"/>
              <w:bottom w:val="sing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6</w:t>
            </w:r>
          </w:p>
        </w:tc>
        <w:tc>
          <w:tcPr>
            <w:tcW w:w="1938" w:type="dxa"/>
            <w:tcBorders>
              <w:top w:val="single" w:sz="4" w:space="0" w:color="auto"/>
              <w:bottom w:val="sing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4,3</w:t>
            </w:r>
          </w:p>
        </w:tc>
      </w:tr>
      <w:tr w:rsidR="000169D5" w:rsidRPr="00014645" w:rsidTr="009228F2">
        <w:tc>
          <w:tcPr>
            <w:tcW w:w="1297" w:type="dxa"/>
            <w:vMerge/>
            <w:tcBorders>
              <w:left w:val="double" w:sz="4" w:space="0" w:color="auto"/>
              <w:right w:val="double" w:sz="6" w:space="0" w:color="auto"/>
            </w:tcBorders>
            <w:shd w:val="clear" w:color="auto" w:fill="F9AD6F"/>
          </w:tcPr>
          <w:p w:rsidR="000169D5" w:rsidRPr="00014645" w:rsidRDefault="000169D5"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0169D5" w:rsidRPr="00BC018C" w:rsidRDefault="000169D5" w:rsidP="000169D5">
            <w:pPr>
              <w:spacing w:before="0"/>
              <w:jc w:val="left"/>
              <w:rPr>
                <w:rFonts w:cs="Arial"/>
                <w:sz w:val="22"/>
              </w:rPr>
            </w:pPr>
            <w:r w:rsidRPr="00BC018C">
              <w:rPr>
                <w:rFonts w:cs="Arial"/>
                <w:sz w:val="22"/>
              </w:rPr>
              <w:t>60-69 let</w:t>
            </w:r>
          </w:p>
        </w:tc>
        <w:tc>
          <w:tcPr>
            <w:tcW w:w="2113" w:type="dxa"/>
            <w:tcBorders>
              <w:top w:val="single" w:sz="4" w:space="0" w:color="auto"/>
              <w:bottom w:val="sing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25</w:t>
            </w:r>
          </w:p>
        </w:tc>
        <w:tc>
          <w:tcPr>
            <w:tcW w:w="1938" w:type="dxa"/>
            <w:tcBorders>
              <w:top w:val="single" w:sz="4" w:space="0" w:color="auto"/>
              <w:bottom w:val="sing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17,9</w:t>
            </w:r>
          </w:p>
        </w:tc>
      </w:tr>
      <w:tr w:rsidR="000169D5" w:rsidRPr="00014645" w:rsidTr="009228F2">
        <w:tc>
          <w:tcPr>
            <w:tcW w:w="1297" w:type="dxa"/>
            <w:vMerge/>
            <w:tcBorders>
              <w:left w:val="double" w:sz="4" w:space="0" w:color="auto"/>
              <w:right w:val="double" w:sz="6" w:space="0" w:color="auto"/>
            </w:tcBorders>
            <w:shd w:val="clear" w:color="auto" w:fill="F9AD6F"/>
          </w:tcPr>
          <w:p w:rsidR="000169D5" w:rsidRPr="00014645" w:rsidRDefault="000169D5"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0169D5" w:rsidRPr="00BC018C" w:rsidRDefault="000169D5" w:rsidP="000169D5">
            <w:pPr>
              <w:spacing w:before="0"/>
              <w:jc w:val="left"/>
              <w:rPr>
                <w:rFonts w:cs="Arial"/>
                <w:sz w:val="22"/>
              </w:rPr>
            </w:pPr>
            <w:r w:rsidRPr="00BC018C">
              <w:rPr>
                <w:rFonts w:cs="Arial"/>
                <w:sz w:val="22"/>
              </w:rPr>
              <w:t>70-79 let</w:t>
            </w:r>
          </w:p>
        </w:tc>
        <w:tc>
          <w:tcPr>
            <w:tcW w:w="2113" w:type="dxa"/>
            <w:tcBorders>
              <w:top w:val="single" w:sz="4" w:space="0" w:color="auto"/>
              <w:bottom w:val="sing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60</w:t>
            </w:r>
          </w:p>
        </w:tc>
        <w:tc>
          <w:tcPr>
            <w:tcW w:w="1938" w:type="dxa"/>
            <w:tcBorders>
              <w:top w:val="single" w:sz="4" w:space="0" w:color="auto"/>
              <w:bottom w:val="sing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42,9</w:t>
            </w:r>
          </w:p>
        </w:tc>
      </w:tr>
      <w:tr w:rsidR="000169D5" w:rsidRPr="00014645" w:rsidTr="009228F2">
        <w:tc>
          <w:tcPr>
            <w:tcW w:w="1297" w:type="dxa"/>
            <w:vMerge/>
            <w:tcBorders>
              <w:left w:val="double" w:sz="4" w:space="0" w:color="auto"/>
              <w:bottom w:val="double" w:sz="4" w:space="0" w:color="auto"/>
              <w:right w:val="double" w:sz="6" w:space="0" w:color="auto"/>
            </w:tcBorders>
            <w:shd w:val="clear" w:color="auto" w:fill="F9AD6F"/>
          </w:tcPr>
          <w:p w:rsidR="000169D5" w:rsidRPr="00014645" w:rsidRDefault="000169D5" w:rsidP="007C195E">
            <w:pPr>
              <w:spacing w:before="0"/>
              <w:rPr>
                <w:rFonts w:cs="Arial"/>
                <w:szCs w:val="24"/>
              </w:rPr>
            </w:pPr>
          </w:p>
        </w:tc>
        <w:tc>
          <w:tcPr>
            <w:tcW w:w="3940" w:type="dxa"/>
            <w:tcBorders>
              <w:top w:val="single" w:sz="4" w:space="0" w:color="auto"/>
              <w:left w:val="double" w:sz="6" w:space="0" w:color="auto"/>
              <w:bottom w:val="double" w:sz="4" w:space="0" w:color="auto"/>
            </w:tcBorders>
            <w:shd w:val="clear" w:color="auto" w:fill="FDE9D9" w:themeFill="accent6" w:themeFillTint="33"/>
            <w:vAlign w:val="center"/>
          </w:tcPr>
          <w:p w:rsidR="000169D5" w:rsidRPr="00BC018C" w:rsidRDefault="000169D5" w:rsidP="007C195E">
            <w:pPr>
              <w:spacing w:before="0"/>
              <w:jc w:val="left"/>
              <w:rPr>
                <w:rFonts w:cs="Arial"/>
                <w:sz w:val="22"/>
              </w:rPr>
            </w:pPr>
            <w:r w:rsidRPr="00BC018C">
              <w:rPr>
                <w:rFonts w:cs="Arial"/>
                <w:sz w:val="22"/>
              </w:rPr>
              <w:t>80 let a více</w:t>
            </w:r>
          </w:p>
        </w:tc>
        <w:tc>
          <w:tcPr>
            <w:tcW w:w="2113" w:type="dxa"/>
            <w:tcBorders>
              <w:top w:val="single" w:sz="4" w:space="0" w:color="auto"/>
              <w:bottom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47</w:t>
            </w:r>
          </w:p>
        </w:tc>
        <w:tc>
          <w:tcPr>
            <w:tcW w:w="1938" w:type="dxa"/>
            <w:tcBorders>
              <w:top w:val="single" w:sz="4" w:space="0" w:color="auto"/>
              <w:bottom w:val="doub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33,6</w:t>
            </w:r>
          </w:p>
        </w:tc>
      </w:tr>
      <w:tr w:rsidR="000169D5" w:rsidRPr="00014645" w:rsidTr="009228F2">
        <w:tc>
          <w:tcPr>
            <w:tcW w:w="1297" w:type="dxa"/>
            <w:vMerge w:val="restart"/>
            <w:tcBorders>
              <w:top w:val="double" w:sz="4" w:space="0" w:color="auto"/>
              <w:left w:val="double" w:sz="4" w:space="0" w:color="auto"/>
              <w:right w:val="double" w:sz="6" w:space="0" w:color="auto"/>
            </w:tcBorders>
            <w:shd w:val="clear" w:color="auto" w:fill="F9AD6F"/>
            <w:textDirection w:val="btLr"/>
            <w:vAlign w:val="center"/>
          </w:tcPr>
          <w:p w:rsidR="000169D5" w:rsidRPr="00CD2710" w:rsidRDefault="000169D5" w:rsidP="007C195E">
            <w:pPr>
              <w:spacing w:before="0"/>
              <w:ind w:left="113" w:right="113"/>
              <w:jc w:val="center"/>
              <w:rPr>
                <w:rFonts w:cs="Arial"/>
                <w:b/>
                <w:szCs w:val="24"/>
              </w:rPr>
            </w:pPr>
            <w:r>
              <w:rPr>
                <w:rFonts w:cs="Arial"/>
                <w:b/>
                <w:szCs w:val="24"/>
              </w:rPr>
              <w:t>Typ domu</w:t>
            </w:r>
          </w:p>
        </w:tc>
        <w:tc>
          <w:tcPr>
            <w:tcW w:w="3940" w:type="dxa"/>
            <w:tcBorders>
              <w:top w:val="double" w:sz="4" w:space="0" w:color="auto"/>
              <w:left w:val="double" w:sz="6" w:space="0" w:color="auto"/>
              <w:bottom w:val="single" w:sz="4" w:space="0" w:color="auto"/>
            </w:tcBorders>
            <w:shd w:val="clear" w:color="auto" w:fill="FDE9D9" w:themeFill="accent6" w:themeFillTint="33"/>
            <w:vAlign w:val="center"/>
          </w:tcPr>
          <w:p w:rsidR="000169D5" w:rsidRPr="00BC018C" w:rsidRDefault="000169D5" w:rsidP="007C195E">
            <w:pPr>
              <w:spacing w:before="0"/>
              <w:jc w:val="left"/>
              <w:rPr>
                <w:rFonts w:cs="Arial"/>
                <w:sz w:val="22"/>
              </w:rPr>
            </w:pPr>
            <w:r w:rsidRPr="00BC018C">
              <w:rPr>
                <w:rFonts w:cs="Arial"/>
                <w:sz w:val="22"/>
              </w:rPr>
              <w:t>Rodinný dům</w:t>
            </w:r>
          </w:p>
        </w:tc>
        <w:tc>
          <w:tcPr>
            <w:tcW w:w="2113" w:type="dxa"/>
            <w:tcBorders>
              <w:top w:val="double" w:sz="4" w:space="0" w:color="auto"/>
              <w:bottom w:val="sing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37</w:t>
            </w:r>
          </w:p>
        </w:tc>
        <w:tc>
          <w:tcPr>
            <w:tcW w:w="1938" w:type="dxa"/>
            <w:tcBorders>
              <w:top w:val="double" w:sz="4" w:space="0" w:color="auto"/>
              <w:bottom w:val="sing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26,6</w:t>
            </w:r>
          </w:p>
        </w:tc>
      </w:tr>
      <w:tr w:rsidR="000169D5" w:rsidRPr="00014645" w:rsidTr="009228F2">
        <w:tc>
          <w:tcPr>
            <w:tcW w:w="1297" w:type="dxa"/>
            <w:vMerge/>
            <w:tcBorders>
              <w:left w:val="double" w:sz="4" w:space="0" w:color="auto"/>
              <w:right w:val="double" w:sz="6" w:space="0" w:color="auto"/>
            </w:tcBorders>
            <w:shd w:val="clear" w:color="auto" w:fill="F9AD6F"/>
          </w:tcPr>
          <w:p w:rsidR="000169D5" w:rsidRPr="00014645" w:rsidRDefault="000169D5"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0169D5" w:rsidRPr="00BC018C" w:rsidRDefault="000169D5" w:rsidP="007C195E">
            <w:pPr>
              <w:spacing w:before="0"/>
              <w:jc w:val="left"/>
              <w:rPr>
                <w:rFonts w:cs="Arial"/>
                <w:sz w:val="22"/>
              </w:rPr>
            </w:pPr>
            <w:r w:rsidRPr="00BC018C">
              <w:rPr>
                <w:rFonts w:cs="Arial"/>
                <w:sz w:val="22"/>
              </w:rPr>
              <w:t>Činžovní dům</w:t>
            </w:r>
          </w:p>
        </w:tc>
        <w:tc>
          <w:tcPr>
            <w:tcW w:w="2113" w:type="dxa"/>
            <w:tcBorders>
              <w:top w:val="single" w:sz="4" w:space="0" w:color="auto"/>
              <w:bottom w:val="sing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29</w:t>
            </w:r>
          </w:p>
        </w:tc>
        <w:tc>
          <w:tcPr>
            <w:tcW w:w="1938" w:type="dxa"/>
            <w:tcBorders>
              <w:top w:val="single" w:sz="4" w:space="0" w:color="auto"/>
              <w:bottom w:val="sing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20,9</w:t>
            </w:r>
          </w:p>
        </w:tc>
      </w:tr>
      <w:tr w:rsidR="000169D5" w:rsidRPr="00014645" w:rsidTr="009228F2">
        <w:tc>
          <w:tcPr>
            <w:tcW w:w="1297" w:type="dxa"/>
            <w:vMerge/>
            <w:tcBorders>
              <w:left w:val="double" w:sz="4" w:space="0" w:color="auto"/>
              <w:right w:val="double" w:sz="6" w:space="0" w:color="auto"/>
            </w:tcBorders>
            <w:shd w:val="clear" w:color="auto" w:fill="F9AD6F"/>
          </w:tcPr>
          <w:p w:rsidR="000169D5" w:rsidRPr="00014645" w:rsidRDefault="000169D5"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0169D5" w:rsidRPr="00BC018C" w:rsidRDefault="000169D5" w:rsidP="007C195E">
            <w:pPr>
              <w:spacing w:before="0"/>
              <w:jc w:val="left"/>
              <w:rPr>
                <w:rFonts w:cs="Arial"/>
                <w:sz w:val="22"/>
              </w:rPr>
            </w:pPr>
            <w:r w:rsidRPr="00BC018C">
              <w:rPr>
                <w:rFonts w:cs="Arial"/>
                <w:sz w:val="22"/>
              </w:rPr>
              <w:t>Panelový dům</w:t>
            </w:r>
          </w:p>
        </w:tc>
        <w:tc>
          <w:tcPr>
            <w:tcW w:w="2113" w:type="dxa"/>
            <w:tcBorders>
              <w:top w:val="single" w:sz="4" w:space="0" w:color="auto"/>
              <w:bottom w:val="sing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11</w:t>
            </w:r>
          </w:p>
        </w:tc>
        <w:tc>
          <w:tcPr>
            <w:tcW w:w="1938" w:type="dxa"/>
            <w:tcBorders>
              <w:top w:val="single" w:sz="4" w:space="0" w:color="auto"/>
              <w:bottom w:val="sing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7,9</w:t>
            </w:r>
          </w:p>
        </w:tc>
      </w:tr>
      <w:tr w:rsidR="000169D5" w:rsidRPr="00014645" w:rsidTr="009228F2">
        <w:tc>
          <w:tcPr>
            <w:tcW w:w="1297" w:type="dxa"/>
            <w:vMerge/>
            <w:tcBorders>
              <w:left w:val="double" w:sz="4" w:space="0" w:color="auto"/>
              <w:right w:val="double" w:sz="6" w:space="0" w:color="auto"/>
            </w:tcBorders>
            <w:shd w:val="clear" w:color="auto" w:fill="F9AD6F"/>
          </w:tcPr>
          <w:p w:rsidR="000169D5" w:rsidRPr="00014645" w:rsidRDefault="000169D5"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0169D5" w:rsidRPr="00BC018C" w:rsidRDefault="000169D5" w:rsidP="007C195E">
            <w:pPr>
              <w:spacing w:before="0"/>
              <w:jc w:val="left"/>
              <w:rPr>
                <w:rFonts w:cs="Arial"/>
                <w:sz w:val="22"/>
              </w:rPr>
            </w:pPr>
            <w:r w:rsidRPr="00BC018C">
              <w:rPr>
                <w:rFonts w:cs="Arial"/>
                <w:sz w:val="22"/>
              </w:rPr>
              <w:t>Zařízení sociální péče – Domov pro seniory</w:t>
            </w:r>
          </w:p>
        </w:tc>
        <w:tc>
          <w:tcPr>
            <w:tcW w:w="2113" w:type="dxa"/>
            <w:tcBorders>
              <w:top w:val="single" w:sz="4" w:space="0" w:color="auto"/>
              <w:bottom w:val="sing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10</w:t>
            </w:r>
          </w:p>
        </w:tc>
        <w:tc>
          <w:tcPr>
            <w:tcW w:w="1938" w:type="dxa"/>
            <w:tcBorders>
              <w:top w:val="single" w:sz="4" w:space="0" w:color="auto"/>
              <w:bottom w:val="sing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7,2</w:t>
            </w:r>
          </w:p>
        </w:tc>
      </w:tr>
      <w:tr w:rsidR="000169D5" w:rsidRPr="00014645" w:rsidTr="009228F2">
        <w:tc>
          <w:tcPr>
            <w:tcW w:w="1297" w:type="dxa"/>
            <w:vMerge/>
            <w:tcBorders>
              <w:left w:val="double" w:sz="4" w:space="0" w:color="auto"/>
              <w:right w:val="double" w:sz="6" w:space="0" w:color="auto"/>
            </w:tcBorders>
            <w:shd w:val="clear" w:color="auto" w:fill="F9AD6F"/>
          </w:tcPr>
          <w:p w:rsidR="000169D5" w:rsidRPr="00014645" w:rsidRDefault="000169D5"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0169D5" w:rsidRPr="00BC018C" w:rsidRDefault="000169D5" w:rsidP="007C195E">
            <w:pPr>
              <w:spacing w:before="0"/>
              <w:jc w:val="left"/>
              <w:rPr>
                <w:rFonts w:cs="Arial"/>
                <w:sz w:val="22"/>
              </w:rPr>
            </w:pPr>
            <w:r w:rsidRPr="00BC018C">
              <w:rPr>
                <w:rFonts w:cs="Arial"/>
                <w:sz w:val="22"/>
              </w:rPr>
              <w:t>Zařízení sociální péče – Dům s pečovatelskou službou</w:t>
            </w:r>
          </w:p>
        </w:tc>
        <w:tc>
          <w:tcPr>
            <w:tcW w:w="2113" w:type="dxa"/>
            <w:tcBorders>
              <w:top w:val="single" w:sz="4" w:space="0" w:color="auto"/>
              <w:bottom w:val="sing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50</w:t>
            </w:r>
          </w:p>
        </w:tc>
        <w:tc>
          <w:tcPr>
            <w:tcW w:w="1938" w:type="dxa"/>
            <w:tcBorders>
              <w:top w:val="single" w:sz="4" w:space="0" w:color="auto"/>
              <w:bottom w:val="sing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36,0</w:t>
            </w:r>
          </w:p>
        </w:tc>
      </w:tr>
      <w:tr w:rsidR="000169D5" w:rsidRPr="00014645" w:rsidTr="009228F2">
        <w:tc>
          <w:tcPr>
            <w:tcW w:w="1297" w:type="dxa"/>
            <w:vMerge/>
            <w:tcBorders>
              <w:left w:val="double" w:sz="4" w:space="0" w:color="auto"/>
              <w:bottom w:val="double" w:sz="4" w:space="0" w:color="auto"/>
              <w:right w:val="double" w:sz="6" w:space="0" w:color="auto"/>
            </w:tcBorders>
            <w:shd w:val="clear" w:color="auto" w:fill="F9AD6F"/>
          </w:tcPr>
          <w:p w:rsidR="000169D5" w:rsidRPr="00014645" w:rsidRDefault="000169D5" w:rsidP="007C195E">
            <w:pPr>
              <w:spacing w:before="0"/>
              <w:rPr>
                <w:rFonts w:cs="Arial"/>
                <w:szCs w:val="24"/>
              </w:rPr>
            </w:pPr>
          </w:p>
        </w:tc>
        <w:tc>
          <w:tcPr>
            <w:tcW w:w="3940" w:type="dxa"/>
            <w:tcBorders>
              <w:top w:val="single" w:sz="4" w:space="0" w:color="auto"/>
              <w:left w:val="double" w:sz="6" w:space="0" w:color="auto"/>
              <w:bottom w:val="double" w:sz="4" w:space="0" w:color="auto"/>
            </w:tcBorders>
            <w:shd w:val="clear" w:color="auto" w:fill="FDE9D9" w:themeFill="accent6" w:themeFillTint="33"/>
          </w:tcPr>
          <w:p w:rsidR="000169D5" w:rsidRPr="00BC018C" w:rsidRDefault="000169D5" w:rsidP="007C195E">
            <w:pPr>
              <w:spacing w:before="0"/>
              <w:jc w:val="left"/>
              <w:rPr>
                <w:rFonts w:cs="Arial"/>
                <w:sz w:val="22"/>
              </w:rPr>
            </w:pPr>
            <w:r w:rsidRPr="00BC018C">
              <w:rPr>
                <w:rFonts w:cs="Arial"/>
                <w:sz w:val="22"/>
              </w:rPr>
              <w:t>Jiný typ</w:t>
            </w:r>
          </w:p>
        </w:tc>
        <w:tc>
          <w:tcPr>
            <w:tcW w:w="2113" w:type="dxa"/>
            <w:tcBorders>
              <w:top w:val="single" w:sz="4" w:space="0" w:color="auto"/>
              <w:bottom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2</w:t>
            </w:r>
          </w:p>
        </w:tc>
        <w:tc>
          <w:tcPr>
            <w:tcW w:w="1938" w:type="dxa"/>
            <w:tcBorders>
              <w:top w:val="single" w:sz="4" w:space="0" w:color="auto"/>
              <w:bottom w:val="double" w:sz="4" w:space="0" w:color="auto"/>
              <w:right w:val="double" w:sz="4" w:space="0" w:color="auto"/>
            </w:tcBorders>
            <w:shd w:val="clear" w:color="auto" w:fill="FFFF99"/>
            <w:vAlign w:val="center"/>
          </w:tcPr>
          <w:p w:rsidR="000169D5" w:rsidRPr="00BC018C" w:rsidRDefault="00777801" w:rsidP="007C195E">
            <w:pPr>
              <w:spacing w:before="0"/>
              <w:jc w:val="center"/>
              <w:rPr>
                <w:rFonts w:cs="Arial"/>
                <w:sz w:val="22"/>
              </w:rPr>
            </w:pPr>
            <w:r w:rsidRPr="00BC018C">
              <w:rPr>
                <w:rFonts w:cs="Arial"/>
                <w:sz w:val="22"/>
              </w:rPr>
              <w:t>1,4</w:t>
            </w:r>
          </w:p>
        </w:tc>
      </w:tr>
    </w:tbl>
    <w:p w:rsidR="000169D5" w:rsidRDefault="00CC2702" w:rsidP="00C50D06">
      <w:pPr>
        <w:jc w:val="right"/>
      </w:pPr>
      <w:r>
        <w:rPr>
          <w:sz w:val="16"/>
          <w:szCs w:val="16"/>
        </w:rPr>
        <w:t>Tabulka: AUGUR Consulting</w:t>
      </w:r>
    </w:p>
    <w:p w:rsidR="00841A43" w:rsidRDefault="00841A43" w:rsidP="00BC018C">
      <w:pPr>
        <w:spacing w:before="0"/>
      </w:pPr>
    </w:p>
    <w:p w:rsidR="009228F2" w:rsidRDefault="009228F2" w:rsidP="009228F2">
      <w:r>
        <w:t>Z výsledků analýz vyplývá, že respondenty byli z největší části (64,4 %) senioři, kteří jsou uživatelé některých sociálních služeb pro seniory, dále pak z více než čtvrtiny (27,0 %) senioři, kteří žádné sociální služby nevyužívají, u méně než dvacetiny dotázaných (4,3 %) se jednalo o osobu, která pečuje o rodinného příslušníka nebo jinou blízkou osobu, která využívá služby pro seniory a stejně početnou skupinu (4,3 %) tvořili osoby, které pečují o rodinného příslušníka nebo jinou blízkou osobu, ale nevyužívá žádné služby pro seniory. Situaci dokumentuje následující graf č. 1</w:t>
      </w:r>
      <w:r w:rsidR="00ED3A43">
        <w:t>6</w:t>
      </w:r>
      <w:r>
        <w:t>.</w:t>
      </w:r>
    </w:p>
    <w:p w:rsidR="009228F2" w:rsidRDefault="009228F2" w:rsidP="009228F2"/>
    <w:p w:rsidR="00494725" w:rsidRDefault="00494725" w:rsidP="00494725">
      <w:pPr>
        <w:pStyle w:val="Titulek"/>
        <w:keepNext/>
      </w:pPr>
      <w:bookmarkStart w:id="87" w:name="_Toc367357518"/>
      <w:r>
        <w:t xml:space="preserve">Graf č. </w:t>
      </w:r>
      <w:r w:rsidR="00EE3646">
        <w:fldChar w:fldCharType="begin"/>
      </w:r>
      <w:r w:rsidR="00EE3646">
        <w:instrText xml:space="preserve"> SEQ Graf_č. \* ARABIC </w:instrText>
      </w:r>
      <w:r w:rsidR="00EE3646">
        <w:fldChar w:fldCharType="separate"/>
      </w:r>
      <w:r w:rsidR="00B16210">
        <w:rPr>
          <w:noProof/>
        </w:rPr>
        <w:t>16</w:t>
      </w:r>
      <w:r w:rsidR="00EE3646">
        <w:rPr>
          <w:noProof/>
        </w:rPr>
        <w:fldChar w:fldCharType="end"/>
      </w:r>
      <w:r>
        <w:t xml:space="preserve">: </w:t>
      </w:r>
      <w:r>
        <w:rPr>
          <w:b w:val="0"/>
        </w:rPr>
        <w:t>Vztah k problematice sociálních služeb pro seniory.</w:t>
      </w:r>
      <w:bookmarkEnd w:id="87"/>
    </w:p>
    <w:p w:rsidR="00BC018C" w:rsidRDefault="00BC018C" w:rsidP="00C50D06">
      <w:r w:rsidRPr="008E5461">
        <w:rPr>
          <w:noProof/>
          <w:color w:val="FF0000"/>
          <w:lang w:eastAsia="cs-CZ"/>
        </w:rPr>
        <w:drawing>
          <wp:inline distT="0" distB="0" distL="0" distR="0" wp14:anchorId="6C9D1BAB" wp14:editId="623B5120">
            <wp:extent cx="5752214" cy="2169042"/>
            <wp:effectExtent l="0" t="0" r="20320" b="22225"/>
            <wp:docPr id="10"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3D0EA9" w:rsidRPr="00640D8E">
        <w:rPr>
          <w:noProof/>
          <w:lang w:eastAsia="cs-CZ"/>
        </w:rPr>
        <mc:AlternateContent>
          <mc:Choice Requires="wps">
            <w:drawing>
              <wp:anchor distT="0" distB="0" distL="114300" distR="114300" simplePos="0" relativeHeight="251662336" behindDoc="0" locked="0" layoutInCell="1" allowOverlap="1" wp14:anchorId="18A428F2" wp14:editId="6CC38A1A">
                <wp:simplePos x="0" y="0"/>
                <wp:positionH relativeFrom="column">
                  <wp:posOffset>88900</wp:posOffset>
                </wp:positionH>
                <wp:positionV relativeFrom="paragraph">
                  <wp:posOffset>1959566</wp:posOffset>
                </wp:positionV>
                <wp:extent cx="5592725" cy="368935"/>
                <wp:effectExtent l="0" t="0" r="0" b="0"/>
                <wp:wrapNone/>
                <wp:docPr id="2049" name="TextovéPole 4"/>
                <wp:cNvGraphicFramePr/>
                <a:graphic xmlns:a="http://schemas.openxmlformats.org/drawingml/2006/main">
                  <a:graphicData uri="http://schemas.microsoft.com/office/word/2010/wordprocessingShape">
                    <wps:wsp>
                      <wps:cNvSpPr txBox="1"/>
                      <wps:spPr>
                        <a:xfrm>
                          <a:off x="0" y="0"/>
                          <a:ext cx="5592725" cy="368935"/>
                        </a:xfrm>
                        <a:prstGeom prst="rect">
                          <a:avLst/>
                        </a:prstGeom>
                        <a:noFill/>
                      </wps:spPr>
                      <wps:txbx>
                        <w:txbxContent>
                          <w:p w:rsidR="00D822DB" w:rsidRDefault="00D822DB" w:rsidP="003D0EA9">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=142, 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ovéPole 4" o:spid="_x0000_s1026" type="#_x0000_t202" style="position:absolute;left:0;text-align:left;margin-left:7pt;margin-top:154.3pt;width:440.35pt;height:29.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" filled="f" stroked="f">
                <v:textbox style="mso-fit-shape-to-text:t">
                  <w:txbxContent>
                    <w:p w:rsidR="00D822DB" w:rsidRDefault="00D822DB" w:rsidP="003D0EA9">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=142, 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p>
    <w:p w:rsidR="00841A43" w:rsidRDefault="00841A43" w:rsidP="00C50D06"/>
    <w:p w:rsidR="00494725" w:rsidRDefault="00BC018C" w:rsidP="00494725">
      <w:r>
        <w:t>Jak vyplývá z následujícího grafu č. 1</w:t>
      </w:r>
      <w:r w:rsidR="00ED3A43">
        <w:t>7</w:t>
      </w:r>
      <w:r>
        <w:t xml:space="preserve">, respondenti nebo jejich rodinní příslušníci jsou převážně uživateli Sociálních služeb města Velké Meziříčí: Dům s pečovatelskou službou </w:t>
      </w:r>
      <w:r w:rsidR="00581FEA">
        <w:t xml:space="preserve">- </w:t>
      </w:r>
      <w:r>
        <w:t xml:space="preserve">ulice Zdeňky Vorlové (26,1 %). Dále pak sociálních služeb města Velké Meziříčí: Dům s pečovatelkou službou </w:t>
      </w:r>
      <w:r w:rsidR="00581FEA">
        <w:t xml:space="preserve">- </w:t>
      </w:r>
      <w:r>
        <w:t>ulice Strmá (19,7 %), Sociálních služeb města Velké Meziříčí: Pečovatelská služba (18,3 %), Charitní ošetřovatelské služby Žďár nad Sázavou (12,0 %), Domova pro seniory Velké Meziříčí, p. o. (12,0 %) a Osobní asistence Velké Meziříčí (6,3 %). V menší míře se jednalo o uživatele Domácí hospicové péče Oblastní charity Žďár nad Sázavou</w:t>
      </w:r>
      <w:r w:rsidR="00601FB7">
        <w:t xml:space="preserve"> (2,8 %), Ústavu sociální péče Křižanov (2,1 %) a Občanské poradny Žďár </w:t>
      </w:r>
      <w:r w:rsidR="00703B7B">
        <w:t xml:space="preserve">nad Sázavou (0,7 %). </w:t>
      </w:r>
    </w:p>
    <w:p w:rsidR="00494725" w:rsidRDefault="00494725" w:rsidP="00494725">
      <w:pPr>
        <w:pStyle w:val="Titulek"/>
        <w:keepNext/>
        <w:jc w:val="left"/>
      </w:pPr>
      <w:bookmarkStart w:id="88" w:name="_Toc367357519"/>
      <w:r>
        <w:t xml:space="preserve">Graf č. </w:t>
      </w:r>
      <w:r w:rsidR="00EE3646">
        <w:fldChar w:fldCharType="begin"/>
      </w:r>
      <w:r w:rsidR="00EE3646">
        <w:instrText xml:space="preserve"> SEQ Graf_č. \* ARABIC </w:instrText>
      </w:r>
      <w:r w:rsidR="00EE3646">
        <w:fldChar w:fldCharType="separate"/>
      </w:r>
      <w:r w:rsidR="00B16210">
        <w:rPr>
          <w:noProof/>
        </w:rPr>
        <w:t>17</w:t>
      </w:r>
      <w:r w:rsidR="00EE3646">
        <w:rPr>
          <w:noProof/>
        </w:rPr>
        <w:fldChar w:fldCharType="end"/>
      </w:r>
      <w:r>
        <w:t xml:space="preserve">: </w:t>
      </w:r>
      <w:r>
        <w:rPr>
          <w:b w:val="0"/>
        </w:rPr>
        <w:t>Služby využívané respondentem nebo jeho rodinným příslušníkem.</w:t>
      </w:r>
      <w:bookmarkEnd w:id="88"/>
    </w:p>
    <w:p w:rsidR="000D52D1" w:rsidRPr="00AA288D" w:rsidRDefault="00494725" w:rsidP="00C50D06">
      <w:pPr>
        <w:jc w:val="left"/>
      </w:pPr>
      <w:r w:rsidRPr="00640D8E">
        <w:rPr>
          <w:noProof/>
          <w:lang w:eastAsia="cs-CZ"/>
        </w:rPr>
        <mc:AlternateContent>
          <mc:Choice Requires="wps">
            <w:drawing>
              <wp:anchor distT="0" distB="0" distL="114300" distR="114300" simplePos="0" relativeHeight="251664384" behindDoc="0" locked="0" layoutInCell="1" allowOverlap="1" wp14:anchorId="2495FE82" wp14:editId="29518CD5">
                <wp:simplePos x="0" y="0"/>
                <wp:positionH relativeFrom="column">
                  <wp:posOffset>71120</wp:posOffset>
                </wp:positionH>
                <wp:positionV relativeFrom="paragraph">
                  <wp:posOffset>4413885</wp:posOffset>
                </wp:positionV>
                <wp:extent cx="5592445" cy="368935"/>
                <wp:effectExtent l="0" t="0" r="0" b="0"/>
                <wp:wrapNone/>
                <wp:docPr id="3"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0D52D1">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74,6 %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27" type="#_x0000_t202" style="position:absolute;margin-left:5.6pt;margin-top:347.55pt;width:440.35pt;height:29.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" filled="f" stroked="f">
                <v:textbox style="mso-fit-shape-to-text:t">
                  <w:txbxContent>
                    <w:p w:rsidR="00D822DB" w:rsidRDefault="00D822DB" w:rsidP="000D52D1">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74,6 %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0D52D1" w:rsidRPr="00792D89">
        <w:rPr>
          <w:noProof/>
          <w:color w:val="FF0000"/>
          <w:lang w:eastAsia="cs-CZ"/>
        </w:rPr>
        <w:drawing>
          <wp:inline distT="0" distB="0" distL="0" distR="0" wp14:anchorId="3894856C" wp14:editId="34CF42FF">
            <wp:extent cx="5730949" cy="4614530"/>
            <wp:effectExtent l="0" t="0" r="22225" b="15240"/>
            <wp:docPr id="34"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D52D1" w:rsidRDefault="000D52D1" w:rsidP="00C50D06">
      <w:pPr>
        <w:jc w:val="left"/>
        <w:rPr>
          <w:b/>
          <w:sz w:val="20"/>
        </w:rPr>
      </w:pPr>
    </w:p>
    <w:p w:rsidR="00601FB7" w:rsidRDefault="00601FB7" w:rsidP="00601FB7">
      <w:r>
        <w:t xml:space="preserve">Současně respondenti měli možnost vyjádřit svou spokojenost s využívanou službou či službami. Míru spokojenosti mohli vyjádřit na ordinální škále od 1 – „služba je nejlepší“ do 5 – „služba je nejhorší“. V následující tabulce č. </w:t>
      </w:r>
      <w:r w:rsidR="00703B7B">
        <w:t>2</w:t>
      </w:r>
      <w:r w:rsidR="00594151">
        <w:t>9</w:t>
      </w:r>
      <w:r w:rsidR="00703B7B">
        <w:t xml:space="preserve"> </w:t>
      </w:r>
      <w:r>
        <w:t>jsou služby využívané respondenty seřazeny podle průměrné hodnoty spokojenosti. Čím více se hodnoty blíží číslu 1, tím více jsou respondenti se službou spokojeni.</w:t>
      </w:r>
      <w:r w:rsidR="00494725">
        <w:t xml:space="preserve"> </w:t>
      </w:r>
      <w:r w:rsidR="00A409D3">
        <w:t xml:space="preserve">Všechny služby vykazují </w:t>
      </w:r>
      <w:r w:rsidR="00A409D3" w:rsidRPr="00A409D3">
        <w:rPr>
          <w:b/>
        </w:rPr>
        <w:t>excelentní</w:t>
      </w:r>
      <w:r w:rsidR="00A409D3">
        <w:t xml:space="preserve"> </w:t>
      </w:r>
      <w:r w:rsidR="00104D74">
        <w:t>h</w:t>
      </w:r>
      <w:r w:rsidR="00A409D3">
        <w:t>odnocení</w:t>
      </w:r>
      <w:r w:rsidR="00494725">
        <w:t>.</w:t>
      </w:r>
      <w:r w:rsidR="00731F84">
        <w:t xml:space="preserve"> U služeb, které hodnotil nízký počet respondentů, může být hodnocení </w:t>
      </w:r>
      <w:r w:rsidR="00104D74">
        <w:t xml:space="preserve">dílčím způsobem </w:t>
      </w:r>
      <w:r w:rsidR="00731F84">
        <w:t>zavádějící.</w:t>
      </w:r>
    </w:p>
    <w:p w:rsidR="00601FB7" w:rsidRPr="00601FB7" w:rsidRDefault="00601FB7" w:rsidP="00601FB7"/>
    <w:p w:rsidR="0072544D" w:rsidRDefault="0072544D">
      <w:pPr>
        <w:spacing w:before="0" w:after="200" w:line="276" w:lineRule="auto"/>
        <w:jc w:val="left"/>
        <w:rPr>
          <w:b/>
          <w:bCs/>
          <w:color w:val="0D0D0D" w:themeColor="text1" w:themeTint="F2"/>
          <w:sz w:val="20"/>
          <w:szCs w:val="18"/>
        </w:rPr>
      </w:pPr>
      <w:r>
        <w:br w:type="page"/>
      </w:r>
    </w:p>
    <w:p w:rsidR="00494725" w:rsidRDefault="00494725" w:rsidP="00494725">
      <w:pPr>
        <w:pStyle w:val="Titulek"/>
        <w:keepNext/>
      </w:pPr>
      <w:bookmarkStart w:id="89" w:name="_Toc367794873"/>
      <w:r>
        <w:t xml:space="preserve">Tabulka č. </w:t>
      </w:r>
      <w:r w:rsidR="00EE3646">
        <w:fldChar w:fldCharType="begin"/>
      </w:r>
      <w:r w:rsidR="00EE3646">
        <w:instrText xml:space="preserve"> SEQ Tabulka_č. \* ARABIC </w:instrText>
      </w:r>
      <w:r w:rsidR="00EE3646">
        <w:fldChar w:fldCharType="separate"/>
      </w:r>
      <w:r w:rsidR="00594151">
        <w:rPr>
          <w:noProof/>
        </w:rPr>
        <w:t>29</w:t>
      </w:r>
      <w:r w:rsidR="00EE3646">
        <w:rPr>
          <w:noProof/>
        </w:rPr>
        <w:fldChar w:fldCharType="end"/>
      </w:r>
      <w:r>
        <w:t xml:space="preserve">: </w:t>
      </w:r>
      <w:r>
        <w:rPr>
          <w:b w:val="0"/>
        </w:rPr>
        <w:t>Průměrná hodnota spokojenosti s využívanými sociálními službami.</w:t>
      </w:r>
      <w:bookmarkEnd w:id="89"/>
    </w:p>
    <w:tbl>
      <w:tblPr>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181"/>
        <w:gridCol w:w="4961"/>
      </w:tblGrid>
      <w:tr w:rsidR="005D5997" w:rsidRPr="00656554" w:rsidTr="00AA288D">
        <w:trPr>
          <w:trHeight w:val="719"/>
        </w:trPr>
        <w:tc>
          <w:tcPr>
            <w:tcW w:w="4181" w:type="dxa"/>
            <w:tcBorders>
              <w:top w:val="double" w:sz="4" w:space="0" w:color="auto"/>
              <w:left w:val="double" w:sz="4" w:space="0" w:color="auto"/>
              <w:bottom w:val="double" w:sz="4" w:space="0" w:color="auto"/>
              <w:right w:val="single" w:sz="6" w:space="0" w:color="auto"/>
            </w:tcBorders>
            <w:shd w:val="clear" w:color="auto" w:fill="FFCC66"/>
            <w:vAlign w:val="center"/>
          </w:tcPr>
          <w:p w:rsidR="005D5997" w:rsidRPr="00656554" w:rsidRDefault="001A7625" w:rsidP="007C195E">
            <w:pPr>
              <w:spacing w:before="60"/>
              <w:jc w:val="center"/>
              <w:rPr>
                <w:rFonts w:eastAsia="Calibri" w:cs="Arial"/>
                <w:b/>
                <w:szCs w:val="24"/>
              </w:rPr>
            </w:pPr>
            <w:r>
              <w:rPr>
                <w:rFonts w:cs="Arial"/>
                <w:b/>
                <w:szCs w:val="24"/>
              </w:rPr>
              <w:t>HODNOCENÉ SLUŽBY</w:t>
            </w:r>
          </w:p>
        </w:tc>
        <w:tc>
          <w:tcPr>
            <w:tcW w:w="4961" w:type="dxa"/>
            <w:tcBorders>
              <w:top w:val="double" w:sz="4" w:space="0" w:color="auto"/>
              <w:left w:val="single" w:sz="6" w:space="0" w:color="auto"/>
              <w:bottom w:val="double" w:sz="4" w:space="0" w:color="auto"/>
              <w:right w:val="double" w:sz="4" w:space="0" w:color="auto"/>
            </w:tcBorders>
            <w:shd w:val="clear" w:color="auto" w:fill="FFCC66"/>
          </w:tcPr>
          <w:p w:rsidR="005D5997" w:rsidRDefault="005D5997" w:rsidP="007C195E">
            <w:pPr>
              <w:spacing w:before="60"/>
              <w:jc w:val="center"/>
              <w:rPr>
                <w:rFonts w:cs="Arial"/>
                <w:b/>
                <w:szCs w:val="24"/>
              </w:rPr>
            </w:pPr>
            <w:r>
              <w:rPr>
                <w:rFonts w:cs="Arial"/>
                <w:b/>
                <w:szCs w:val="24"/>
              </w:rPr>
              <w:t xml:space="preserve">PRŮMĚRNÁ HODNOTA </w:t>
            </w:r>
            <w:r w:rsidR="001A7625">
              <w:rPr>
                <w:rFonts w:cs="Arial"/>
                <w:b/>
                <w:szCs w:val="24"/>
              </w:rPr>
              <w:t>SPOKOJENOSTI</w:t>
            </w:r>
          </w:p>
          <w:p w:rsidR="005D5997" w:rsidRPr="005131C2" w:rsidRDefault="005D5997" w:rsidP="001A7625">
            <w:pPr>
              <w:spacing w:before="60"/>
              <w:jc w:val="center"/>
              <w:rPr>
                <w:rFonts w:cs="Arial"/>
                <w:sz w:val="18"/>
                <w:szCs w:val="18"/>
              </w:rPr>
            </w:pPr>
            <w:r w:rsidRPr="005131C2">
              <w:rPr>
                <w:rFonts w:cs="Arial"/>
                <w:sz w:val="18"/>
                <w:szCs w:val="18"/>
              </w:rPr>
              <w:t>Čím více se hodnoty v</w:t>
            </w:r>
            <w:r>
              <w:rPr>
                <w:rFonts w:cs="Arial"/>
                <w:sz w:val="18"/>
                <w:szCs w:val="18"/>
              </w:rPr>
              <w:t> </w:t>
            </w:r>
            <w:r w:rsidRPr="005131C2">
              <w:rPr>
                <w:rFonts w:cs="Arial"/>
                <w:sz w:val="18"/>
                <w:szCs w:val="18"/>
              </w:rPr>
              <w:t>tabulce</w:t>
            </w:r>
            <w:r>
              <w:rPr>
                <w:rFonts w:cs="Arial"/>
                <w:sz w:val="18"/>
                <w:szCs w:val="18"/>
              </w:rPr>
              <w:t xml:space="preserve"> </w:t>
            </w:r>
            <w:r w:rsidRPr="005131C2">
              <w:rPr>
                <w:rFonts w:cs="Arial"/>
                <w:sz w:val="18"/>
                <w:szCs w:val="18"/>
              </w:rPr>
              <w:t xml:space="preserve">blíží hodnotě „1“, tím </w:t>
            </w:r>
            <w:r w:rsidR="001A7625">
              <w:rPr>
                <w:rFonts w:cs="Arial"/>
                <w:sz w:val="18"/>
                <w:szCs w:val="18"/>
              </w:rPr>
              <w:t>více jsou respondenti se službou spokojeni</w:t>
            </w:r>
            <w:r>
              <w:rPr>
                <w:rFonts w:cs="Arial"/>
                <w:sz w:val="18"/>
                <w:szCs w:val="18"/>
              </w:rPr>
              <w:t>.</w:t>
            </w:r>
          </w:p>
        </w:tc>
      </w:tr>
      <w:tr w:rsidR="00AA288D" w:rsidRPr="00656554" w:rsidTr="00AA288D">
        <w:trPr>
          <w:trHeight w:val="315"/>
        </w:trPr>
        <w:tc>
          <w:tcPr>
            <w:tcW w:w="4181" w:type="dxa"/>
            <w:tcBorders>
              <w:top w:val="double" w:sz="4" w:space="0" w:color="auto"/>
              <w:left w:val="double" w:sz="4" w:space="0" w:color="auto"/>
              <w:bottom w:val="single" w:sz="6" w:space="0" w:color="auto"/>
              <w:right w:val="single" w:sz="6" w:space="0" w:color="auto"/>
            </w:tcBorders>
            <w:shd w:val="clear" w:color="auto" w:fill="CCFF99"/>
            <w:vAlign w:val="center"/>
          </w:tcPr>
          <w:p w:rsidR="00AA288D" w:rsidRPr="00104D74" w:rsidRDefault="00AA288D">
            <w:pPr>
              <w:rPr>
                <w:rFonts w:cs="Arial"/>
                <w:color w:val="000000"/>
                <w:sz w:val="22"/>
              </w:rPr>
            </w:pPr>
            <w:r w:rsidRPr="00104D74">
              <w:rPr>
                <w:rFonts w:cs="Arial"/>
                <w:color w:val="000000"/>
                <w:sz w:val="22"/>
              </w:rPr>
              <w:t>Osobní asistence Velké Meziříčí</w:t>
            </w:r>
          </w:p>
        </w:tc>
        <w:tc>
          <w:tcPr>
            <w:tcW w:w="4961" w:type="dxa"/>
            <w:tcBorders>
              <w:top w:val="double" w:sz="4" w:space="0" w:color="auto"/>
              <w:left w:val="single" w:sz="6" w:space="0" w:color="auto"/>
              <w:bottom w:val="single" w:sz="6" w:space="0" w:color="auto"/>
              <w:right w:val="double" w:sz="4" w:space="0" w:color="auto"/>
            </w:tcBorders>
            <w:shd w:val="clear" w:color="auto" w:fill="FFFFCC"/>
            <w:vAlign w:val="center"/>
          </w:tcPr>
          <w:p w:rsidR="00AA288D" w:rsidRPr="00104D74" w:rsidRDefault="00AA288D" w:rsidP="00D6616A">
            <w:pPr>
              <w:jc w:val="center"/>
              <w:rPr>
                <w:rFonts w:cs="Arial"/>
                <w:color w:val="000000"/>
                <w:sz w:val="22"/>
              </w:rPr>
            </w:pPr>
            <w:r w:rsidRPr="00104D74">
              <w:rPr>
                <w:rFonts w:cs="Arial"/>
                <w:color w:val="000000"/>
                <w:sz w:val="22"/>
              </w:rPr>
              <w:t>1,</w:t>
            </w:r>
            <w:r w:rsidR="00D6616A" w:rsidRPr="00104D74">
              <w:rPr>
                <w:rFonts w:cs="Arial"/>
                <w:color w:val="000000"/>
                <w:sz w:val="22"/>
              </w:rPr>
              <w:t>00</w:t>
            </w:r>
          </w:p>
        </w:tc>
      </w:tr>
      <w:tr w:rsidR="00AA288D" w:rsidRPr="00656554" w:rsidTr="00AA288D">
        <w:trPr>
          <w:trHeight w:val="331"/>
        </w:trPr>
        <w:tc>
          <w:tcPr>
            <w:tcW w:w="4181" w:type="dxa"/>
            <w:tcBorders>
              <w:top w:val="single" w:sz="6" w:space="0" w:color="auto"/>
              <w:left w:val="double" w:sz="4" w:space="0" w:color="auto"/>
              <w:bottom w:val="single" w:sz="6" w:space="0" w:color="auto"/>
              <w:right w:val="single" w:sz="6" w:space="0" w:color="auto"/>
            </w:tcBorders>
            <w:shd w:val="clear" w:color="auto" w:fill="CCFF99"/>
            <w:vAlign w:val="center"/>
          </w:tcPr>
          <w:p w:rsidR="00AA288D" w:rsidRPr="00104D74" w:rsidRDefault="00AA288D">
            <w:pPr>
              <w:rPr>
                <w:rFonts w:cs="Arial"/>
                <w:color w:val="000000"/>
                <w:sz w:val="22"/>
              </w:rPr>
            </w:pPr>
            <w:r w:rsidRPr="00104D74">
              <w:rPr>
                <w:rFonts w:cs="Arial"/>
                <w:color w:val="000000"/>
                <w:sz w:val="22"/>
              </w:rPr>
              <w:t>Domácí hospicová péče Oblastní charita Žďár nad Sázavou</w:t>
            </w:r>
          </w:p>
        </w:tc>
        <w:tc>
          <w:tcPr>
            <w:tcW w:w="4961" w:type="dxa"/>
            <w:tcBorders>
              <w:top w:val="single" w:sz="6" w:space="0" w:color="auto"/>
              <w:left w:val="single" w:sz="6" w:space="0" w:color="auto"/>
              <w:bottom w:val="single" w:sz="6" w:space="0" w:color="auto"/>
              <w:right w:val="double" w:sz="4" w:space="0" w:color="auto"/>
            </w:tcBorders>
            <w:shd w:val="clear" w:color="auto" w:fill="FFFFCC"/>
            <w:vAlign w:val="center"/>
          </w:tcPr>
          <w:p w:rsidR="00AA288D" w:rsidRPr="00104D74" w:rsidRDefault="00D6616A">
            <w:pPr>
              <w:jc w:val="center"/>
              <w:rPr>
                <w:rFonts w:cs="Arial"/>
                <w:color w:val="000000"/>
                <w:sz w:val="22"/>
              </w:rPr>
            </w:pPr>
            <w:r w:rsidRPr="00104D74">
              <w:rPr>
                <w:rFonts w:cs="Arial"/>
                <w:color w:val="000000"/>
                <w:sz w:val="22"/>
              </w:rPr>
              <w:t>1,00</w:t>
            </w:r>
          </w:p>
        </w:tc>
      </w:tr>
      <w:tr w:rsidR="00D6616A" w:rsidRPr="00656554" w:rsidTr="00AA288D">
        <w:trPr>
          <w:trHeight w:val="331"/>
        </w:trPr>
        <w:tc>
          <w:tcPr>
            <w:tcW w:w="4181" w:type="dxa"/>
            <w:tcBorders>
              <w:top w:val="single" w:sz="6" w:space="0" w:color="auto"/>
              <w:left w:val="double" w:sz="4" w:space="0" w:color="auto"/>
              <w:bottom w:val="single" w:sz="6" w:space="0" w:color="auto"/>
              <w:right w:val="single" w:sz="6" w:space="0" w:color="auto"/>
            </w:tcBorders>
            <w:shd w:val="clear" w:color="auto" w:fill="CCFF99"/>
            <w:vAlign w:val="center"/>
          </w:tcPr>
          <w:p w:rsidR="00D6616A" w:rsidRPr="00104D74" w:rsidRDefault="00D6616A" w:rsidP="00D6616A">
            <w:pPr>
              <w:rPr>
                <w:rFonts w:cs="Arial"/>
                <w:color w:val="000000"/>
                <w:sz w:val="22"/>
              </w:rPr>
            </w:pPr>
            <w:r w:rsidRPr="00104D74">
              <w:rPr>
                <w:rFonts w:cs="Arial"/>
                <w:color w:val="000000"/>
                <w:sz w:val="22"/>
              </w:rPr>
              <w:t>Charitní ošetřovatelská služba Žďár nad Sázavou</w:t>
            </w:r>
          </w:p>
        </w:tc>
        <w:tc>
          <w:tcPr>
            <w:tcW w:w="4961" w:type="dxa"/>
            <w:tcBorders>
              <w:top w:val="single" w:sz="6" w:space="0" w:color="auto"/>
              <w:left w:val="single" w:sz="6" w:space="0" w:color="auto"/>
              <w:bottom w:val="single" w:sz="6" w:space="0" w:color="auto"/>
              <w:right w:val="double" w:sz="4" w:space="0" w:color="auto"/>
            </w:tcBorders>
            <w:shd w:val="clear" w:color="auto" w:fill="FFFFCC"/>
            <w:vAlign w:val="center"/>
          </w:tcPr>
          <w:p w:rsidR="00D6616A" w:rsidRPr="00104D74" w:rsidRDefault="00D6616A" w:rsidP="00D6616A">
            <w:pPr>
              <w:jc w:val="center"/>
              <w:rPr>
                <w:rFonts w:cs="Arial"/>
                <w:color w:val="000000"/>
                <w:sz w:val="22"/>
              </w:rPr>
            </w:pPr>
            <w:r w:rsidRPr="00104D74">
              <w:rPr>
                <w:rFonts w:cs="Arial"/>
                <w:color w:val="000000"/>
                <w:sz w:val="22"/>
              </w:rPr>
              <w:t>1,00</w:t>
            </w:r>
          </w:p>
        </w:tc>
      </w:tr>
      <w:tr w:rsidR="00D6616A" w:rsidRPr="00656554" w:rsidTr="00AA288D">
        <w:trPr>
          <w:trHeight w:val="331"/>
        </w:trPr>
        <w:tc>
          <w:tcPr>
            <w:tcW w:w="4181" w:type="dxa"/>
            <w:tcBorders>
              <w:top w:val="single" w:sz="6" w:space="0" w:color="auto"/>
              <w:left w:val="double" w:sz="4" w:space="0" w:color="auto"/>
              <w:bottom w:val="single" w:sz="6" w:space="0" w:color="auto"/>
              <w:right w:val="single" w:sz="6" w:space="0" w:color="auto"/>
            </w:tcBorders>
            <w:shd w:val="clear" w:color="auto" w:fill="CCFF99"/>
            <w:vAlign w:val="center"/>
          </w:tcPr>
          <w:p w:rsidR="00D6616A" w:rsidRPr="00104D74" w:rsidRDefault="00D6616A" w:rsidP="00D6616A">
            <w:pPr>
              <w:rPr>
                <w:rFonts w:cs="Arial"/>
                <w:color w:val="000000"/>
                <w:sz w:val="22"/>
              </w:rPr>
            </w:pPr>
            <w:r w:rsidRPr="00104D74">
              <w:rPr>
                <w:rFonts w:cs="Arial"/>
                <w:color w:val="000000"/>
                <w:sz w:val="22"/>
              </w:rPr>
              <w:t>Ústav sociální péče Křižanov, příspěvková organizace</w:t>
            </w:r>
          </w:p>
        </w:tc>
        <w:tc>
          <w:tcPr>
            <w:tcW w:w="4961" w:type="dxa"/>
            <w:tcBorders>
              <w:top w:val="single" w:sz="6" w:space="0" w:color="auto"/>
              <w:left w:val="single" w:sz="6" w:space="0" w:color="auto"/>
              <w:bottom w:val="single" w:sz="6" w:space="0" w:color="auto"/>
              <w:right w:val="double" w:sz="4" w:space="0" w:color="auto"/>
            </w:tcBorders>
            <w:shd w:val="clear" w:color="auto" w:fill="FFFFCC"/>
            <w:vAlign w:val="center"/>
          </w:tcPr>
          <w:p w:rsidR="00D6616A" w:rsidRPr="00104D74" w:rsidRDefault="00D6616A" w:rsidP="00D6616A">
            <w:pPr>
              <w:jc w:val="center"/>
              <w:rPr>
                <w:rFonts w:cs="Arial"/>
                <w:color w:val="000000"/>
                <w:sz w:val="22"/>
              </w:rPr>
            </w:pPr>
            <w:r w:rsidRPr="00104D74">
              <w:rPr>
                <w:rFonts w:cs="Arial"/>
                <w:color w:val="000000"/>
                <w:sz w:val="22"/>
              </w:rPr>
              <w:t>1,00</w:t>
            </w:r>
          </w:p>
        </w:tc>
      </w:tr>
      <w:tr w:rsidR="00AA288D" w:rsidRPr="00656554" w:rsidTr="00AA288D">
        <w:trPr>
          <w:trHeight w:val="347"/>
        </w:trPr>
        <w:tc>
          <w:tcPr>
            <w:tcW w:w="4181" w:type="dxa"/>
            <w:tcBorders>
              <w:top w:val="single" w:sz="6" w:space="0" w:color="auto"/>
              <w:left w:val="double" w:sz="4" w:space="0" w:color="auto"/>
              <w:bottom w:val="single" w:sz="6" w:space="0" w:color="auto"/>
              <w:right w:val="single" w:sz="6" w:space="0" w:color="auto"/>
            </w:tcBorders>
            <w:shd w:val="clear" w:color="auto" w:fill="CCFF99"/>
            <w:vAlign w:val="center"/>
          </w:tcPr>
          <w:p w:rsidR="00AA288D" w:rsidRPr="00D6616A" w:rsidRDefault="00AA288D">
            <w:pPr>
              <w:rPr>
                <w:rFonts w:cs="Arial"/>
                <w:color w:val="000000"/>
                <w:sz w:val="22"/>
              </w:rPr>
            </w:pPr>
            <w:r w:rsidRPr="00D6616A">
              <w:rPr>
                <w:rFonts w:cs="Arial"/>
                <w:color w:val="000000"/>
                <w:sz w:val="22"/>
              </w:rPr>
              <w:t>Sociální služby města Velké Meziříčí: Dům s pečovatelskou službou (ulice Zdenky Vorlové)</w:t>
            </w:r>
          </w:p>
        </w:tc>
        <w:tc>
          <w:tcPr>
            <w:tcW w:w="4961" w:type="dxa"/>
            <w:tcBorders>
              <w:top w:val="single" w:sz="6" w:space="0" w:color="auto"/>
              <w:left w:val="single" w:sz="6" w:space="0" w:color="auto"/>
              <w:bottom w:val="single" w:sz="6" w:space="0" w:color="auto"/>
              <w:right w:val="double" w:sz="4" w:space="0" w:color="auto"/>
            </w:tcBorders>
            <w:shd w:val="clear" w:color="auto" w:fill="FFFFCC"/>
            <w:vAlign w:val="center"/>
          </w:tcPr>
          <w:p w:rsidR="00AA288D" w:rsidRPr="00D6616A" w:rsidRDefault="00D6616A">
            <w:pPr>
              <w:jc w:val="center"/>
              <w:rPr>
                <w:rFonts w:cs="Arial"/>
                <w:bCs/>
                <w:color w:val="000000"/>
                <w:sz w:val="22"/>
              </w:rPr>
            </w:pPr>
            <w:r w:rsidRPr="00D6616A">
              <w:rPr>
                <w:rFonts w:cs="Arial"/>
                <w:bCs/>
                <w:color w:val="000000"/>
                <w:sz w:val="22"/>
              </w:rPr>
              <w:t>1,27</w:t>
            </w:r>
          </w:p>
        </w:tc>
      </w:tr>
      <w:tr w:rsidR="00AA288D" w:rsidRPr="00656554" w:rsidTr="00AA288D">
        <w:trPr>
          <w:trHeight w:val="331"/>
        </w:trPr>
        <w:tc>
          <w:tcPr>
            <w:tcW w:w="4181" w:type="dxa"/>
            <w:tcBorders>
              <w:top w:val="single" w:sz="6" w:space="0" w:color="auto"/>
              <w:left w:val="double" w:sz="4" w:space="0" w:color="auto"/>
              <w:bottom w:val="single" w:sz="6" w:space="0" w:color="auto"/>
              <w:right w:val="single" w:sz="6" w:space="0" w:color="auto"/>
            </w:tcBorders>
            <w:shd w:val="clear" w:color="auto" w:fill="CCFF99"/>
            <w:vAlign w:val="center"/>
          </w:tcPr>
          <w:p w:rsidR="00AA288D" w:rsidRDefault="00AA288D">
            <w:pPr>
              <w:rPr>
                <w:rFonts w:cs="Arial"/>
                <w:color w:val="000000"/>
                <w:sz w:val="22"/>
              </w:rPr>
            </w:pPr>
            <w:r>
              <w:rPr>
                <w:rFonts w:cs="Arial"/>
                <w:color w:val="000000"/>
                <w:sz w:val="22"/>
              </w:rPr>
              <w:t>Sociální služby města Velké Meziříčí: Pečovatelská služba</w:t>
            </w:r>
          </w:p>
        </w:tc>
        <w:tc>
          <w:tcPr>
            <w:tcW w:w="4961" w:type="dxa"/>
            <w:tcBorders>
              <w:top w:val="single" w:sz="6" w:space="0" w:color="auto"/>
              <w:left w:val="single" w:sz="6" w:space="0" w:color="auto"/>
              <w:bottom w:val="single" w:sz="6" w:space="0" w:color="auto"/>
              <w:right w:val="double" w:sz="4" w:space="0" w:color="auto"/>
            </w:tcBorders>
            <w:shd w:val="clear" w:color="auto" w:fill="FFFFCC"/>
            <w:vAlign w:val="center"/>
          </w:tcPr>
          <w:p w:rsidR="00AA288D" w:rsidRDefault="00D6616A">
            <w:pPr>
              <w:jc w:val="center"/>
              <w:rPr>
                <w:rFonts w:cs="Arial"/>
                <w:color w:val="000000"/>
                <w:sz w:val="22"/>
              </w:rPr>
            </w:pPr>
            <w:r>
              <w:rPr>
                <w:rFonts w:cs="Arial"/>
                <w:color w:val="000000"/>
                <w:sz w:val="22"/>
              </w:rPr>
              <w:t>1,48</w:t>
            </w:r>
          </w:p>
        </w:tc>
      </w:tr>
      <w:tr w:rsidR="00AA288D" w:rsidRPr="00656554" w:rsidTr="00AA288D">
        <w:trPr>
          <w:trHeight w:val="331"/>
        </w:trPr>
        <w:tc>
          <w:tcPr>
            <w:tcW w:w="4181" w:type="dxa"/>
            <w:tcBorders>
              <w:top w:val="single" w:sz="6" w:space="0" w:color="auto"/>
              <w:left w:val="double" w:sz="4" w:space="0" w:color="auto"/>
              <w:bottom w:val="single" w:sz="6" w:space="0" w:color="auto"/>
              <w:right w:val="single" w:sz="6" w:space="0" w:color="auto"/>
            </w:tcBorders>
            <w:shd w:val="clear" w:color="auto" w:fill="CCFF99"/>
            <w:vAlign w:val="center"/>
          </w:tcPr>
          <w:p w:rsidR="00AA288D" w:rsidRDefault="00AA288D">
            <w:pPr>
              <w:rPr>
                <w:rFonts w:cs="Arial"/>
                <w:color w:val="000000"/>
                <w:sz w:val="22"/>
              </w:rPr>
            </w:pPr>
            <w:r>
              <w:rPr>
                <w:rFonts w:cs="Arial"/>
                <w:color w:val="000000"/>
                <w:sz w:val="22"/>
              </w:rPr>
              <w:t>Sociální služby města Velké Meziříčí: Dům s pečovatelskou službou (ulice Strmá)</w:t>
            </w:r>
          </w:p>
        </w:tc>
        <w:tc>
          <w:tcPr>
            <w:tcW w:w="4961" w:type="dxa"/>
            <w:tcBorders>
              <w:top w:val="single" w:sz="6" w:space="0" w:color="auto"/>
              <w:left w:val="single" w:sz="6" w:space="0" w:color="auto"/>
              <w:bottom w:val="single" w:sz="6" w:space="0" w:color="auto"/>
              <w:right w:val="double" w:sz="4" w:space="0" w:color="auto"/>
            </w:tcBorders>
            <w:shd w:val="clear" w:color="auto" w:fill="FFFFCC"/>
            <w:vAlign w:val="center"/>
          </w:tcPr>
          <w:p w:rsidR="00AA288D" w:rsidRDefault="00D6616A">
            <w:pPr>
              <w:jc w:val="center"/>
              <w:rPr>
                <w:rFonts w:cs="Arial"/>
                <w:color w:val="000000"/>
                <w:sz w:val="22"/>
              </w:rPr>
            </w:pPr>
            <w:r>
              <w:rPr>
                <w:rFonts w:cs="Arial"/>
                <w:color w:val="000000"/>
                <w:sz w:val="22"/>
              </w:rPr>
              <w:t>1,57</w:t>
            </w:r>
          </w:p>
        </w:tc>
      </w:tr>
      <w:tr w:rsidR="00AA288D" w:rsidRPr="00656554" w:rsidTr="00AA288D">
        <w:trPr>
          <w:trHeight w:val="331"/>
        </w:trPr>
        <w:tc>
          <w:tcPr>
            <w:tcW w:w="4181" w:type="dxa"/>
            <w:tcBorders>
              <w:top w:val="single" w:sz="6" w:space="0" w:color="auto"/>
              <w:left w:val="double" w:sz="4" w:space="0" w:color="auto"/>
              <w:bottom w:val="single" w:sz="6" w:space="0" w:color="auto"/>
              <w:right w:val="single" w:sz="6" w:space="0" w:color="auto"/>
            </w:tcBorders>
            <w:shd w:val="clear" w:color="auto" w:fill="CCFF99"/>
            <w:vAlign w:val="center"/>
          </w:tcPr>
          <w:p w:rsidR="00AA288D" w:rsidRDefault="00AA288D">
            <w:pPr>
              <w:rPr>
                <w:rFonts w:cs="Arial"/>
                <w:color w:val="000000"/>
                <w:sz w:val="22"/>
              </w:rPr>
            </w:pPr>
            <w:r>
              <w:rPr>
                <w:rFonts w:cs="Arial"/>
                <w:color w:val="000000"/>
                <w:sz w:val="22"/>
              </w:rPr>
              <w:t>Domov pro seniory Velké Meziříčí, p.o.</w:t>
            </w:r>
          </w:p>
        </w:tc>
        <w:tc>
          <w:tcPr>
            <w:tcW w:w="4961" w:type="dxa"/>
            <w:tcBorders>
              <w:top w:val="single" w:sz="6" w:space="0" w:color="auto"/>
              <w:left w:val="single" w:sz="6" w:space="0" w:color="auto"/>
              <w:bottom w:val="single" w:sz="6" w:space="0" w:color="auto"/>
              <w:right w:val="double" w:sz="4" w:space="0" w:color="auto"/>
            </w:tcBorders>
            <w:shd w:val="clear" w:color="auto" w:fill="FFFFCC"/>
            <w:vAlign w:val="center"/>
          </w:tcPr>
          <w:p w:rsidR="00AA288D" w:rsidRPr="00AA288D" w:rsidRDefault="00D6616A">
            <w:pPr>
              <w:jc w:val="center"/>
              <w:rPr>
                <w:rFonts w:cs="Arial"/>
                <w:bCs/>
                <w:color w:val="000000"/>
                <w:sz w:val="22"/>
              </w:rPr>
            </w:pPr>
            <w:r>
              <w:rPr>
                <w:rFonts w:cs="Arial"/>
                <w:bCs/>
                <w:color w:val="000000"/>
                <w:sz w:val="22"/>
              </w:rPr>
              <w:t>1,62</w:t>
            </w:r>
          </w:p>
        </w:tc>
      </w:tr>
      <w:tr w:rsidR="00AA288D" w:rsidRPr="00656554" w:rsidTr="00AA288D">
        <w:trPr>
          <w:trHeight w:val="331"/>
        </w:trPr>
        <w:tc>
          <w:tcPr>
            <w:tcW w:w="4181" w:type="dxa"/>
            <w:tcBorders>
              <w:top w:val="single" w:sz="6" w:space="0" w:color="auto"/>
              <w:left w:val="double" w:sz="4" w:space="0" w:color="auto"/>
              <w:bottom w:val="single" w:sz="6" w:space="0" w:color="auto"/>
              <w:right w:val="single" w:sz="6" w:space="0" w:color="auto"/>
            </w:tcBorders>
            <w:shd w:val="clear" w:color="auto" w:fill="CCFF99"/>
            <w:vAlign w:val="center"/>
          </w:tcPr>
          <w:p w:rsidR="00AA288D" w:rsidRDefault="00AA288D">
            <w:pPr>
              <w:rPr>
                <w:rFonts w:cs="Arial"/>
                <w:color w:val="000000"/>
                <w:sz w:val="22"/>
              </w:rPr>
            </w:pPr>
            <w:r>
              <w:rPr>
                <w:rFonts w:cs="Arial"/>
                <w:color w:val="000000"/>
                <w:sz w:val="22"/>
              </w:rPr>
              <w:t>Občanská poradna Žďár nad Sázavou</w:t>
            </w:r>
          </w:p>
        </w:tc>
        <w:tc>
          <w:tcPr>
            <w:tcW w:w="4961" w:type="dxa"/>
            <w:tcBorders>
              <w:top w:val="single" w:sz="6" w:space="0" w:color="auto"/>
              <w:left w:val="single" w:sz="6" w:space="0" w:color="auto"/>
              <w:bottom w:val="single" w:sz="6" w:space="0" w:color="auto"/>
              <w:right w:val="double" w:sz="4" w:space="0" w:color="auto"/>
            </w:tcBorders>
            <w:shd w:val="clear" w:color="auto" w:fill="FFFFCC"/>
            <w:vAlign w:val="center"/>
          </w:tcPr>
          <w:p w:rsidR="00AA288D" w:rsidRDefault="00D6616A">
            <w:pPr>
              <w:jc w:val="center"/>
              <w:rPr>
                <w:rFonts w:cs="Arial"/>
                <w:color w:val="000000"/>
                <w:sz w:val="22"/>
              </w:rPr>
            </w:pPr>
            <w:r>
              <w:rPr>
                <w:rFonts w:cs="Arial"/>
                <w:color w:val="000000"/>
                <w:sz w:val="22"/>
              </w:rPr>
              <w:t>--</w:t>
            </w:r>
          </w:p>
        </w:tc>
      </w:tr>
      <w:tr w:rsidR="00AA288D" w:rsidRPr="00656554" w:rsidTr="00AA288D">
        <w:trPr>
          <w:trHeight w:val="331"/>
        </w:trPr>
        <w:tc>
          <w:tcPr>
            <w:tcW w:w="4181" w:type="dxa"/>
            <w:tcBorders>
              <w:top w:val="single" w:sz="6" w:space="0" w:color="auto"/>
              <w:left w:val="double" w:sz="4" w:space="0" w:color="auto"/>
              <w:bottom w:val="single" w:sz="6" w:space="0" w:color="auto"/>
              <w:right w:val="single" w:sz="6" w:space="0" w:color="auto"/>
            </w:tcBorders>
            <w:shd w:val="clear" w:color="auto" w:fill="CCFF99"/>
            <w:vAlign w:val="center"/>
          </w:tcPr>
          <w:p w:rsidR="00AA288D" w:rsidRDefault="00AA288D">
            <w:pPr>
              <w:rPr>
                <w:rFonts w:cs="Arial"/>
                <w:color w:val="000000"/>
                <w:sz w:val="22"/>
              </w:rPr>
            </w:pPr>
            <w:r>
              <w:rPr>
                <w:rFonts w:cs="Arial"/>
                <w:color w:val="000000"/>
                <w:sz w:val="22"/>
              </w:rPr>
              <w:t>Hospicové hnutí – Vysočina, o.s.</w:t>
            </w:r>
          </w:p>
        </w:tc>
        <w:tc>
          <w:tcPr>
            <w:tcW w:w="4961" w:type="dxa"/>
            <w:tcBorders>
              <w:top w:val="single" w:sz="6" w:space="0" w:color="auto"/>
              <w:left w:val="single" w:sz="6" w:space="0" w:color="auto"/>
              <w:bottom w:val="single" w:sz="6" w:space="0" w:color="auto"/>
              <w:right w:val="double" w:sz="4" w:space="0" w:color="auto"/>
            </w:tcBorders>
            <w:shd w:val="clear" w:color="auto" w:fill="FFFFCC"/>
            <w:vAlign w:val="center"/>
          </w:tcPr>
          <w:p w:rsidR="00AA288D" w:rsidRDefault="00AA288D">
            <w:pPr>
              <w:jc w:val="center"/>
              <w:rPr>
                <w:rFonts w:cs="Arial"/>
                <w:color w:val="000000"/>
                <w:sz w:val="22"/>
              </w:rPr>
            </w:pPr>
            <w:r>
              <w:rPr>
                <w:rFonts w:cs="Arial"/>
                <w:color w:val="000000"/>
                <w:sz w:val="22"/>
              </w:rPr>
              <w:t>--</w:t>
            </w:r>
          </w:p>
        </w:tc>
      </w:tr>
      <w:tr w:rsidR="00AA288D" w:rsidRPr="00656554" w:rsidTr="00AA288D">
        <w:trPr>
          <w:trHeight w:val="331"/>
        </w:trPr>
        <w:tc>
          <w:tcPr>
            <w:tcW w:w="4181" w:type="dxa"/>
            <w:tcBorders>
              <w:top w:val="single" w:sz="6" w:space="0" w:color="auto"/>
              <w:left w:val="double" w:sz="4" w:space="0" w:color="auto"/>
              <w:bottom w:val="single" w:sz="6" w:space="0" w:color="auto"/>
              <w:right w:val="single" w:sz="6" w:space="0" w:color="auto"/>
            </w:tcBorders>
            <w:shd w:val="clear" w:color="auto" w:fill="CCFF99"/>
            <w:vAlign w:val="center"/>
          </w:tcPr>
          <w:p w:rsidR="00AA288D" w:rsidRDefault="00AA288D">
            <w:pPr>
              <w:rPr>
                <w:rFonts w:cs="Arial"/>
                <w:color w:val="000000"/>
                <w:sz w:val="22"/>
              </w:rPr>
            </w:pPr>
            <w:r>
              <w:rPr>
                <w:rFonts w:cs="Arial"/>
                <w:color w:val="000000"/>
                <w:sz w:val="22"/>
              </w:rPr>
              <w:t>ZO Neslyšících a nedoslýchavých Velké Meziříčí</w:t>
            </w:r>
          </w:p>
        </w:tc>
        <w:tc>
          <w:tcPr>
            <w:tcW w:w="4961" w:type="dxa"/>
            <w:tcBorders>
              <w:top w:val="single" w:sz="6" w:space="0" w:color="auto"/>
              <w:left w:val="single" w:sz="6" w:space="0" w:color="auto"/>
              <w:bottom w:val="single" w:sz="6" w:space="0" w:color="auto"/>
              <w:right w:val="double" w:sz="4" w:space="0" w:color="auto"/>
            </w:tcBorders>
            <w:shd w:val="clear" w:color="auto" w:fill="FFFFCC"/>
            <w:vAlign w:val="center"/>
          </w:tcPr>
          <w:p w:rsidR="00AA288D" w:rsidRDefault="00AA288D">
            <w:pPr>
              <w:jc w:val="center"/>
              <w:rPr>
                <w:rFonts w:cs="Arial"/>
                <w:color w:val="000000"/>
                <w:sz w:val="22"/>
              </w:rPr>
            </w:pPr>
            <w:r>
              <w:rPr>
                <w:rFonts w:cs="Arial"/>
                <w:color w:val="000000"/>
                <w:sz w:val="22"/>
              </w:rPr>
              <w:t>--</w:t>
            </w:r>
          </w:p>
        </w:tc>
      </w:tr>
      <w:tr w:rsidR="00AA288D" w:rsidRPr="00656554" w:rsidTr="00AA288D">
        <w:trPr>
          <w:trHeight w:val="331"/>
        </w:trPr>
        <w:tc>
          <w:tcPr>
            <w:tcW w:w="4181" w:type="dxa"/>
            <w:tcBorders>
              <w:top w:val="single" w:sz="6" w:space="0" w:color="auto"/>
              <w:left w:val="double" w:sz="4" w:space="0" w:color="auto"/>
              <w:bottom w:val="double" w:sz="4" w:space="0" w:color="auto"/>
              <w:right w:val="single" w:sz="6" w:space="0" w:color="auto"/>
            </w:tcBorders>
            <w:shd w:val="clear" w:color="auto" w:fill="CCFF99"/>
            <w:vAlign w:val="center"/>
          </w:tcPr>
          <w:p w:rsidR="00AA288D" w:rsidRDefault="00AA288D">
            <w:pPr>
              <w:rPr>
                <w:rFonts w:cs="Arial"/>
                <w:color w:val="000000"/>
                <w:sz w:val="22"/>
              </w:rPr>
            </w:pPr>
            <w:r>
              <w:rPr>
                <w:rFonts w:cs="Arial"/>
                <w:color w:val="000000"/>
                <w:sz w:val="22"/>
              </w:rPr>
              <w:t>Sociálně aktivizační služby pro rodiny s dětmi Žďár nad Sázavou</w:t>
            </w:r>
          </w:p>
        </w:tc>
        <w:tc>
          <w:tcPr>
            <w:tcW w:w="4961" w:type="dxa"/>
            <w:tcBorders>
              <w:top w:val="single" w:sz="6" w:space="0" w:color="auto"/>
              <w:left w:val="single" w:sz="6" w:space="0" w:color="auto"/>
              <w:bottom w:val="double" w:sz="4" w:space="0" w:color="auto"/>
              <w:right w:val="double" w:sz="4" w:space="0" w:color="auto"/>
            </w:tcBorders>
            <w:shd w:val="clear" w:color="auto" w:fill="FFFFCC"/>
            <w:vAlign w:val="center"/>
          </w:tcPr>
          <w:p w:rsidR="00AA288D" w:rsidRDefault="00AA288D">
            <w:pPr>
              <w:jc w:val="center"/>
              <w:rPr>
                <w:rFonts w:cs="Arial"/>
                <w:color w:val="000000"/>
                <w:sz w:val="22"/>
              </w:rPr>
            </w:pPr>
            <w:r>
              <w:rPr>
                <w:rFonts w:cs="Arial"/>
                <w:color w:val="000000"/>
                <w:sz w:val="22"/>
              </w:rPr>
              <w:t>--</w:t>
            </w:r>
          </w:p>
        </w:tc>
      </w:tr>
    </w:tbl>
    <w:p w:rsidR="005D5997" w:rsidRDefault="00CC2702" w:rsidP="00C50D06">
      <w:pPr>
        <w:tabs>
          <w:tab w:val="left" w:pos="954"/>
        </w:tabs>
        <w:jc w:val="right"/>
      </w:pPr>
      <w:r>
        <w:rPr>
          <w:sz w:val="16"/>
          <w:szCs w:val="16"/>
        </w:rPr>
        <w:t>Tabulka: AUGUR Consulting</w:t>
      </w:r>
    </w:p>
    <w:p w:rsidR="00862FE0" w:rsidRDefault="00862FE0" w:rsidP="00C50D06"/>
    <w:p w:rsidR="00494725" w:rsidRDefault="00494725" w:rsidP="00C50D06">
      <w:r>
        <w:t>Respondenti se o službě, kterou využívají, dozvěděli nejčastěji zprostředkovaně tj. od přátel, spolupracovníků, známých apod. (29,2 %). Dále pak od lékaře (23,6 %), od rodiny (21,7 %), od pracovníka/pracovnice organizace, o které vědí, že podobné služby poskytuje</w:t>
      </w:r>
      <w:r w:rsidR="00862FE0">
        <w:t xml:space="preserve"> (16,0 %), na M</w:t>
      </w:r>
      <w:r w:rsidR="00852C1B">
        <w:t>ěstském úřadě</w:t>
      </w:r>
      <w:r w:rsidR="00862FE0">
        <w:t xml:space="preserve"> Odbor</w:t>
      </w:r>
      <w:r w:rsidR="00852C1B">
        <w:t>u</w:t>
      </w:r>
      <w:r w:rsidR="00862FE0">
        <w:t xml:space="preserve"> sociálních věc</w:t>
      </w:r>
      <w:r w:rsidR="00F0737E">
        <w:t>í (12,3 %) a </w:t>
      </w:r>
      <w:r w:rsidR="00862FE0">
        <w:t>stejně početná skupina (12,3 %) od člověka, který se s podobným problémem setkal</w:t>
      </w:r>
      <w:r>
        <w:t>.</w:t>
      </w:r>
      <w:r w:rsidR="00862FE0">
        <w:t xml:space="preserve"> V menší míře se respondenti o službě dozvěděli z tý</w:t>
      </w:r>
      <w:r w:rsidR="00ED3A43">
        <w:t>deníku Velkomeziříčsko (6,6 %)</w:t>
      </w:r>
      <w:r w:rsidR="00862FE0">
        <w:t xml:space="preserve"> nebo službu našli na internetu (1,9 %). Výsledky jsou uv</w:t>
      </w:r>
      <w:r w:rsidR="00703B7B">
        <w:t>edeny v následujícím grafu č. 18</w:t>
      </w:r>
      <w:r w:rsidR="00862FE0">
        <w:t>.</w:t>
      </w:r>
      <w:r w:rsidR="00703B7B">
        <w:t xml:space="preserve"> </w:t>
      </w:r>
    </w:p>
    <w:p w:rsidR="00494725" w:rsidRDefault="00494725" w:rsidP="00C50D06"/>
    <w:p w:rsidR="00494725" w:rsidRDefault="00494725" w:rsidP="00494725">
      <w:pPr>
        <w:pStyle w:val="Titulek"/>
        <w:keepNext/>
      </w:pPr>
      <w:bookmarkStart w:id="90" w:name="_Toc367357520"/>
      <w:r>
        <w:t xml:space="preserve">Graf č. </w:t>
      </w:r>
      <w:r w:rsidR="00EE3646">
        <w:fldChar w:fldCharType="begin"/>
      </w:r>
      <w:r w:rsidR="00EE3646">
        <w:instrText xml:space="preserve"> SEQ Graf_č. \* ARABIC </w:instrText>
      </w:r>
      <w:r w:rsidR="00EE3646">
        <w:fldChar w:fldCharType="separate"/>
      </w:r>
      <w:r w:rsidR="00B16210">
        <w:rPr>
          <w:noProof/>
        </w:rPr>
        <w:t>18</w:t>
      </w:r>
      <w:r w:rsidR="00EE3646">
        <w:rPr>
          <w:noProof/>
        </w:rPr>
        <w:fldChar w:fldCharType="end"/>
      </w:r>
      <w:r>
        <w:t xml:space="preserve">: </w:t>
      </w:r>
      <w:r>
        <w:rPr>
          <w:b w:val="0"/>
        </w:rPr>
        <w:t>Získání povědomí o službě.</w:t>
      </w:r>
      <w:bookmarkEnd w:id="90"/>
    </w:p>
    <w:p w:rsidR="005D5997" w:rsidRDefault="00494725" w:rsidP="00C50D06">
      <w:r w:rsidRPr="00640D8E">
        <w:rPr>
          <w:noProof/>
          <w:lang w:eastAsia="cs-CZ"/>
        </w:rPr>
        <mc:AlternateContent>
          <mc:Choice Requires="wps">
            <w:drawing>
              <wp:anchor distT="0" distB="0" distL="114300" distR="114300" simplePos="0" relativeHeight="251703296" behindDoc="0" locked="1" layoutInCell="1" allowOverlap="1" wp14:anchorId="0E4A0469" wp14:editId="4897E678">
                <wp:simplePos x="0" y="0"/>
                <wp:positionH relativeFrom="column">
                  <wp:posOffset>136525</wp:posOffset>
                </wp:positionH>
                <wp:positionV relativeFrom="paragraph">
                  <wp:posOffset>3649345</wp:posOffset>
                </wp:positionV>
                <wp:extent cx="5592445" cy="368935"/>
                <wp:effectExtent l="0" t="0" r="0" b="0"/>
                <wp:wrapNone/>
                <wp:docPr id="2056"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862FE0">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74,6 %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28" type="#_x0000_t202" style="position:absolute;left:0;text-align:left;margin-left:10.75pt;margin-top:287.35pt;width:440.35pt;height:29.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" filled="f" stroked="f">
                <v:textbox style="mso-fit-shape-to-text:t">
                  <w:txbxContent>
                    <w:p w:rsidR="00D822DB" w:rsidRDefault="00D822DB" w:rsidP="00862FE0">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74,6 %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w10:anchorlock/>
              </v:shape>
            </w:pict>
          </mc:Fallback>
        </mc:AlternateContent>
      </w:r>
      <w:r w:rsidR="001A7625" w:rsidRPr="00792D89">
        <w:rPr>
          <w:noProof/>
          <w:color w:val="FF0000"/>
          <w:lang w:eastAsia="cs-CZ"/>
        </w:rPr>
        <w:drawing>
          <wp:inline distT="0" distB="0" distL="0" distR="0" wp14:anchorId="06715786" wp14:editId="45375F8F">
            <wp:extent cx="5734050" cy="3841115"/>
            <wp:effectExtent l="0" t="0" r="19050" b="26035"/>
            <wp:docPr id="6"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F7E75" w:rsidRDefault="00AA288D" w:rsidP="00C50D06">
      <w:pPr>
        <w:spacing w:before="0" w:after="200" w:line="276" w:lineRule="auto"/>
        <w:jc w:val="left"/>
        <w:rPr>
          <w:sz w:val="20"/>
        </w:rPr>
      </w:pPr>
      <w:r w:rsidRPr="00A54739">
        <w:rPr>
          <w:b/>
          <w:sz w:val="20"/>
        </w:rPr>
        <w:t>Jinak</w:t>
      </w:r>
      <w:r w:rsidRPr="00A54739">
        <w:rPr>
          <w:sz w:val="20"/>
        </w:rPr>
        <w:t xml:space="preserve">: </w:t>
      </w:r>
      <w:r w:rsidR="00A54739" w:rsidRPr="00A54739">
        <w:rPr>
          <w:sz w:val="20"/>
        </w:rPr>
        <w:t xml:space="preserve">z vývěsky </w:t>
      </w:r>
      <w:r w:rsidR="00A54739">
        <w:rPr>
          <w:sz w:val="20"/>
        </w:rPr>
        <w:t>nad vchodem, z nemocnice, z rozhovoru cizích lidí, byl mi při dělen městskou správou bytů.</w:t>
      </w:r>
    </w:p>
    <w:p w:rsidR="0038703C" w:rsidRDefault="0038703C" w:rsidP="003F2540"/>
    <w:p w:rsidR="00A54739" w:rsidRDefault="003F2540" w:rsidP="003F2540">
      <w:r>
        <w:t xml:space="preserve">V případě potřeby pomoci </w:t>
      </w:r>
      <w:r w:rsidR="00852C1B">
        <w:t>(</w:t>
      </w:r>
      <w:r>
        <w:t>z důvodu nemožnosti postarat se sám o sebe</w:t>
      </w:r>
      <w:r w:rsidR="00852C1B">
        <w:t>)</w:t>
      </w:r>
      <w:r>
        <w:t xml:space="preserve"> by se respondenti nejčastěji obrátili na konkrétní sociální službu (45,9 %), téměř třetina (32,8 %) z nich by kontaktovala svoji blízkou rodinu a příbuzné a sedmina dotázaných by se obrátila na svého lékaře. </w:t>
      </w:r>
      <w:r w:rsidR="00731F84">
        <w:t xml:space="preserve">Jednalo se o volnou otázku (tj. bez nabízených variant odpovědí). </w:t>
      </w:r>
      <w:r w:rsidR="004119CF">
        <w:rPr>
          <w:rFonts w:cs="Arial"/>
        </w:rPr>
        <w:t xml:space="preserve">Respondenti mohli uvést až tři </w:t>
      </w:r>
      <w:r w:rsidR="00852C1B">
        <w:rPr>
          <w:rFonts w:cs="Arial"/>
        </w:rPr>
        <w:t>odpovědi</w:t>
      </w:r>
      <w:r w:rsidR="004119CF">
        <w:rPr>
          <w:rFonts w:cs="Arial"/>
        </w:rPr>
        <w:t xml:space="preserve">. </w:t>
      </w:r>
      <w:r w:rsidR="00731F84">
        <w:t>Sloučené kategorie</w:t>
      </w:r>
      <w:r>
        <w:t xml:space="preserve"> doku</w:t>
      </w:r>
      <w:r w:rsidR="00703B7B">
        <w:t xml:space="preserve">mentuje následující tabulka č. </w:t>
      </w:r>
      <w:r w:rsidR="00594151">
        <w:t>30</w:t>
      </w:r>
      <w:r>
        <w:t>.</w:t>
      </w:r>
      <w:r w:rsidR="00D33DC2">
        <w:t xml:space="preserve"> </w:t>
      </w:r>
    </w:p>
    <w:p w:rsidR="00CC2702" w:rsidRPr="00502F4D" w:rsidRDefault="00CC2702" w:rsidP="00C50D06">
      <w:pPr>
        <w:pStyle w:val="Titulek"/>
        <w:keepNext/>
        <w:rPr>
          <w:b w:val="0"/>
        </w:rPr>
      </w:pPr>
    </w:p>
    <w:p w:rsidR="00703B7B" w:rsidRDefault="00703B7B" w:rsidP="00703B7B">
      <w:pPr>
        <w:pStyle w:val="Titulek"/>
        <w:keepNext/>
      </w:pPr>
      <w:bookmarkStart w:id="91" w:name="_Toc367794874"/>
      <w:r>
        <w:t xml:space="preserve">Tabulka č. </w:t>
      </w:r>
      <w:r w:rsidR="00EE3646">
        <w:fldChar w:fldCharType="begin"/>
      </w:r>
      <w:r w:rsidR="00EE3646">
        <w:instrText xml:space="preserve"> SEQ Tabulka_č. \* ARABIC </w:instrText>
      </w:r>
      <w:r w:rsidR="00EE3646">
        <w:fldChar w:fldCharType="separate"/>
      </w:r>
      <w:r w:rsidR="00594151">
        <w:rPr>
          <w:noProof/>
        </w:rPr>
        <w:t>30</w:t>
      </w:r>
      <w:r w:rsidR="00EE3646">
        <w:rPr>
          <w:noProof/>
        </w:rPr>
        <w:fldChar w:fldCharType="end"/>
      </w:r>
      <w:r>
        <w:t xml:space="preserve">: </w:t>
      </w:r>
      <w:r w:rsidRPr="00502F4D">
        <w:rPr>
          <w:b w:val="0"/>
        </w:rPr>
        <w:t>Směřování žádosti o pomoc v případě nemožnosti postarat se sám o sebe.</w:t>
      </w:r>
      <w:bookmarkEnd w:id="91"/>
      <w:r>
        <w:rPr>
          <w:b w:val="0"/>
        </w:rPr>
        <w:t xml:space="preserve"> </w:t>
      </w:r>
    </w:p>
    <w:tbl>
      <w:tblPr>
        <w:tblW w:w="91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82"/>
        <w:gridCol w:w="1687"/>
        <w:gridCol w:w="1626"/>
      </w:tblGrid>
      <w:tr w:rsidR="00CC2702" w:rsidRPr="003612F2" w:rsidTr="003F2540">
        <w:trPr>
          <w:cantSplit/>
          <w:trHeight w:val="871"/>
        </w:trPr>
        <w:tc>
          <w:tcPr>
            <w:tcW w:w="5882" w:type="dxa"/>
            <w:vMerge w:val="restart"/>
            <w:tcBorders>
              <w:top w:val="single" w:sz="4" w:space="0" w:color="auto"/>
              <w:left w:val="single" w:sz="4" w:space="0" w:color="auto"/>
            </w:tcBorders>
            <w:shd w:val="clear" w:color="auto" w:fill="92D050"/>
            <w:vAlign w:val="center"/>
          </w:tcPr>
          <w:p w:rsidR="00CC2702" w:rsidRPr="003612F2" w:rsidRDefault="00CC2702" w:rsidP="00CC2702">
            <w:pPr>
              <w:spacing w:before="0"/>
              <w:jc w:val="center"/>
              <w:rPr>
                <w:rFonts w:cs="Arial"/>
                <w:b/>
                <w:bCs/>
                <w:sz w:val="20"/>
                <w:szCs w:val="20"/>
              </w:rPr>
            </w:pPr>
            <w:r w:rsidRPr="003612F2">
              <w:rPr>
                <w:rFonts w:cs="Arial"/>
                <w:sz w:val="20"/>
                <w:szCs w:val="20"/>
              </w:rPr>
              <w:br w:type="page"/>
            </w:r>
            <w:r>
              <w:rPr>
                <w:rFonts w:cs="Arial"/>
                <w:b/>
                <w:bCs/>
                <w:szCs w:val="24"/>
              </w:rPr>
              <w:t xml:space="preserve">Na koho byste se obrátil(a), kdybyste </w:t>
            </w:r>
            <w:r>
              <w:rPr>
                <w:rFonts w:cs="Arial"/>
                <w:b/>
              </w:rPr>
              <w:t>potřeboval(a) Vy osobně nebo vaši blízcí pomoc v případě nemožnosti postarat se sám o sebe, např. z důvodu snížení soběstačnosti?</w:t>
            </w:r>
          </w:p>
        </w:tc>
        <w:tc>
          <w:tcPr>
            <w:tcW w:w="331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3F2540" w:rsidRDefault="00CC2702" w:rsidP="003F2540">
            <w:pPr>
              <w:spacing w:before="0"/>
              <w:jc w:val="center"/>
              <w:outlineLvl w:val="6"/>
              <w:rPr>
                <w:rFonts w:cs="Arial"/>
                <w:b/>
                <w:bCs/>
                <w:sz w:val="20"/>
                <w:szCs w:val="20"/>
              </w:rPr>
            </w:pPr>
            <w:r w:rsidRPr="003612F2">
              <w:rPr>
                <w:rFonts w:cs="Arial"/>
                <w:b/>
                <w:bCs/>
                <w:sz w:val="20"/>
                <w:szCs w:val="20"/>
              </w:rPr>
              <w:t xml:space="preserve">Na volnou otázku </w:t>
            </w:r>
            <w:r w:rsidRPr="003612F2">
              <w:rPr>
                <w:rFonts w:cs="Arial"/>
                <w:sz w:val="20"/>
                <w:szCs w:val="20"/>
              </w:rPr>
              <w:t>(otázka bez nabízených variant)</w:t>
            </w:r>
            <w:r w:rsidRPr="003612F2">
              <w:rPr>
                <w:rFonts w:cs="Arial"/>
                <w:b/>
                <w:bCs/>
                <w:sz w:val="20"/>
                <w:szCs w:val="20"/>
              </w:rPr>
              <w:t xml:space="preserve"> </w:t>
            </w:r>
          </w:p>
          <w:p w:rsidR="00CC2702" w:rsidRPr="003612F2" w:rsidRDefault="00CC2702" w:rsidP="003F2540">
            <w:pPr>
              <w:spacing w:before="0"/>
              <w:jc w:val="center"/>
              <w:outlineLvl w:val="6"/>
              <w:rPr>
                <w:rFonts w:cs="Arial"/>
                <w:b/>
                <w:bCs/>
                <w:sz w:val="20"/>
                <w:szCs w:val="20"/>
              </w:rPr>
            </w:pPr>
            <w:r w:rsidRPr="003612F2">
              <w:rPr>
                <w:rFonts w:cs="Arial"/>
                <w:b/>
                <w:bCs/>
                <w:sz w:val="20"/>
                <w:szCs w:val="20"/>
              </w:rPr>
              <w:t xml:space="preserve">odpovídalo </w:t>
            </w:r>
            <w:r w:rsidR="003F2540">
              <w:rPr>
                <w:rFonts w:cs="Arial"/>
                <w:b/>
                <w:bCs/>
                <w:sz w:val="20"/>
                <w:szCs w:val="20"/>
              </w:rPr>
              <w:t>85,9</w:t>
            </w:r>
            <w:r w:rsidRPr="003612F2">
              <w:rPr>
                <w:rFonts w:cs="Arial"/>
                <w:b/>
                <w:bCs/>
                <w:sz w:val="20"/>
                <w:szCs w:val="20"/>
              </w:rPr>
              <w:t xml:space="preserve"> % respondentů.</w:t>
            </w:r>
          </w:p>
        </w:tc>
      </w:tr>
      <w:tr w:rsidR="00CC2702" w:rsidRPr="003612F2" w:rsidTr="003F2540">
        <w:trPr>
          <w:cantSplit/>
          <w:trHeight w:val="72"/>
        </w:trPr>
        <w:tc>
          <w:tcPr>
            <w:tcW w:w="5882" w:type="dxa"/>
            <w:vMerge/>
            <w:tcBorders>
              <w:left w:val="single" w:sz="4" w:space="0" w:color="auto"/>
              <w:bottom w:val="single" w:sz="4" w:space="0" w:color="auto"/>
            </w:tcBorders>
            <w:shd w:val="clear" w:color="auto" w:fill="92D050"/>
            <w:vAlign w:val="center"/>
          </w:tcPr>
          <w:p w:rsidR="00CC2702" w:rsidRPr="003612F2" w:rsidRDefault="00CC2702" w:rsidP="007C195E">
            <w:pPr>
              <w:spacing w:before="0"/>
              <w:jc w:val="center"/>
              <w:rPr>
                <w:rFonts w:cs="Arial"/>
                <w:color w:val="FF0000"/>
                <w:sz w:val="20"/>
                <w:szCs w:val="20"/>
              </w:rPr>
            </w:pPr>
          </w:p>
        </w:tc>
        <w:tc>
          <w:tcPr>
            <w:tcW w:w="1687" w:type="dxa"/>
            <w:tcBorders>
              <w:top w:val="single" w:sz="4" w:space="0" w:color="auto"/>
              <w:left w:val="single" w:sz="4" w:space="0" w:color="auto"/>
              <w:bottom w:val="single" w:sz="4" w:space="0" w:color="auto"/>
              <w:right w:val="single" w:sz="4" w:space="0" w:color="auto"/>
            </w:tcBorders>
            <w:shd w:val="clear" w:color="auto" w:fill="92D050"/>
            <w:vAlign w:val="center"/>
          </w:tcPr>
          <w:p w:rsidR="00CC2702" w:rsidRPr="00CC2702" w:rsidRDefault="00CC2702" w:rsidP="007C195E">
            <w:pPr>
              <w:spacing w:before="0"/>
              <w:jc w:val="center"/>
              <w:outlineLvl w:val="6"/>
              <w:rPr>
                <w:rFonts w:cs="Arial"/>
                <w:b/>
                <w:bCs/>
                <w:sz w:val="22"/>
                <w:szCs w:val="20"/>
              </w:rPr>
            </w:pPr>
            <w:r w:rsidRPr="00CC2702">
              <w:rPr>
                <w:rFonts w:cs="Arial"/>
                <w:b/>
                <w:bCs/>
                <w:sz w:val="22"/>
                <w:szCs w:val="20"/>
              </w:rPr>
              <w:t xml:space="preserve">Absolutní četnosti </w:t>
            </w:r>
          </w:p>
        </w:tc>
        <w:tc>
          <w:tcPr>
            <w:tcW w:w="1626" w:type="dxa"/>
            <w:tcBorders>
              <w:top w:val="single" w:sz="4" w:space="0" w:color="auto"/>
              <w:left w:val="single" w:sz="4" w:space="0" w:color="auto"/>
              <w:bottom w:val="single" w:sz="4" w:space="0" w:color="auto"/>
              <w:right w:val="single" w:sz="4" w:space="0" w:color="auto"/>
            </w:tcBorders>
            <w:shd w:val="clear" w:color="auto" w:fill="92D050"/>
            <w:vAlign w:val="center"/>
          </w:tcPr>
          <w:p w:rsidR="00CC2702" w:rsidRPr="00CC2702" w:rsidRDefault="00CC2702" w:rsidP="007C195E">
            <w:pPr>
              <w:spacing w:before="0"/>
              <w:jc w:val="center"/>
              <w:outlineLvl w:val="6"/>
              <w:rPr>
                <w:rFonts w:cs="Arial"/>
                <w:b/>
                <w:bCs/>
                <w:sz w:val="22"/>
                <w:szCs w:val="20"/>
              </w:rPr>
            </w:pPr>
            <w:r w:rsidRPr="00CC2702">
              <w:rPr>
                <w:rFonts w:cs="Arial"/>
                <w:b/>
                <w:bCs/>
                <w:sz w:val="22"/>
                <w:szCs w:val="20"/>
              </w:rPr>
              <w:t>Relativní četnosti (%)</w:t>
            </w:r>
          </w:p>
        </w:tc>
      </w:tr>
      <w:tr w:rsidR="00CC2702" w:rsidRPr="005D43D7" w:rsidTr="003F2540">
        <w:trPr>
          <w:trHeight w:val="319"/>
        </w:trPr>
        <w:tc>
          <w:tcPr>
            <w:tcW w:w="5882" w:type="dxa"/>
            <w:tcBorders>
              <w:top w:val="single" w:sz="4" w:space="0" w:color="auto"/>
              <w:left w:val="single" w:sz="4" w:space="0" w:color="auto"/>
              <w:bottom w:val="single" w:sz="4" w:space="0" w:color="auto"/>
              <w:right w:val="single" w:sz="4" w:space="0" w:color="auto"/>
            </w:tcBorders>
            <w:shd w:val="clear" w:color="auto" w:fill="ACF6B0"/>
            <w:vAlign w:val="center"/>
          </w:tcPr>
          <w:p w:rsidR="00CC2702" w:rsidRPr="005D43D7" w:rsidRDefault="004F5216" w:rsidP="007C195E">
            <w:pPr>
              <w:spacing w:before="0"/>
              <w:jc w:val="center"/>
              <w:rPr>
                <w:rFonts w:eastAsia="Arial Unicode MS" w:cs="Arial"/>
                <w:b/>
                <w:sz w:val="22"/>
              </w:rPr>
            </w:pPr>
            <w:r w:rsidRPr="004F5216">
              <w:rPr>
                <w:rFonts w:eastAsia="Arial Unicode MS" w:cs="Arial"/>
                <w:b/>
                <w:sz w:val="22"/>
              </w:rPr>
              <w:t>Sociální služba (Pečovatelská služba, Domov pro seniory, Sociální služby města velké Meziříčí, apod.)</w:t>
            </w:r>
          </w:p>
        </w:tc>
        <w:tc>
          <w:tcPr>
            <w:tcW w:w="1687" w:type="dxa"/>
            <w:tcBorders>
              <w:top w:val="single" w:sz="4" w:space="0" w:color="auto"/>
              <w:left w:val="single" w:sz="4" w:space="0" w:color="auto"/>
              <w:bottom w:val="single" w:sz="4" w:space="0" w:color="auto"/>
              <w:right w:val="single" w:sz="4" w:space="0" w:color="auto"/>
            </w:tcBorders>
            <w:shd w:val="clear" w:color="auto" w:fill="ACF6B0"/>
            <w:vAlign w:val="center"/>
          </w:tcPr>
          <w:p w:rsidR="00CC2702" w:rsidRPr="005D43D7" w:rsidRDefault="004F5216" w:rsidP="007C195E">
            <w:pPr>
              <w:spacing w:before="0"/>
              <w:jc w:val="center"/>
              <w:rPr>
                <w:rFonts w:eastAsia="Arial Unicode MS" w:cs="Arial"/>
                <w:b/>
                <w:sz w:val="22"/>
              </w:rPr>
            </w:pPr>
            <w:r>
              <w:rPr>
                <w:rFonts w:eastAsia="Arial Unicode MS" w:cs="Arial"/>
                <w:b/>
                <w:sz w:val="22"/>
              </w:rPr>
              <w:t>56</w:t>
            </w:r>
          </w:p>
        </w:tc>
        <w:tc>
          <w:tcPr>
            <w:tcW w:w="1626" w:type="dxa"/>
            <w:tcBorders>
              <w:top w:val="single" w:sz="4" w:space="0" w:color="auto"/>
              <w:left w:val="single" w:sz="4" w:space="0" w:color="auto"/>
              <w:bottom w:val="single" w:sz="4" w:space="0" w:color="auto"/>
              <w:right w:val="single" w:sz="4" w:space="0" w:color="auto"/>
            </w:tcBorders>
            <w:shd w:val="clear" w:color="auto" w:fill="ACF6B0"/>
            <w:vAlign w:val="center"/>
          </w:tcPr>
          <w:p w:rsidR="00CC2702" w:rsidRPr="005D43D7" w:rsidRDefault="003F2540" w:rsidP="003F2540">
            <w:pPr>
              <w:spacing w:before="0"/>
              <w:jc w:val="center"/>
              <w:rPr>
                <w:rFonts w:eastAsia="Arial Unicode MS" w:cs="Arial"/>
                <w:b/>
                <w:sz w:val="22"/>
              </w:rPr>
            </w:pPr>
            <w:r>
              <w:rPr>
                <w:rFonts w:eastAsia="Arial Unicode MS" w:cs="Arial"/>
                <w:b/>
                <w:sz w:val="22"/>
              </w:rPr>
              <w:t>45,9</w:t>
            </w:r>
          </w:p>
        </w:tc>
      </w:tr>
      <w:tr w:rsidR="00CC2702" w:rsidRPr="005D43D7" w:rsidTr="003F2540">
        <w:trPr>
          <w:trHeight w:val="297"/>
        </w:trPr>
        <w:tc>
          <w:tcPr>
            <w:tcW w:w="5882" w:type="dxa"/>
            <w:tcBorders>
              <w:top w:val="single" w:sz="4" w:space="0" w:color="auto"/>
              <w:left w:val="single" w:sz="4" w:space="0" w:color="auto"/>
              <w:bottom w:val="single" w:sz="4" w:space="0" w:color="auto"/>
              <w:right w:val="single" w:sz="4" w:space="0" w:color="auto"/>
            </w:tcBorders>
            <w:shd w:val="clear" w:color="auto" w:fill="ECECEC"/>
            <w:vAlign w:val="center"/>
          </w:tcPr>
          <w:p w:rsidR="00CC2702" w:rsidRPr="005D43D7" w:rsidRDefault="001C5267" w:rsidP="007C195E">
            <w:pPr>
              <w:spacing w:before="0"/>
              <w:jc w:val="center"/>
              <w:rPr>
                <w:rFonts w:eastAsia="Arial Unicode MS" w:cs="Arial"/>
                <w:sz w:val="22"/>
              </w:rPr>
            </w:pPr>
            <w:r>
              <w:rPr>
                <w:rFonts w:eastAsia="Arial Unicode MS" w:cs="Arial"/>
                <w:sz w:val="22"/>
              </w:rPr>
              <w:t>Rodina</w:t>
            </w:r>
          </w:p>
        </w:tc>
        <w:tc>
          <w:tcPr>
            <w:tcW w:w="1687" w:type="dxa"/>
            <w:tcBorders>
              <w:top w:val="single" w:sz="4" w:space="0" w:color="auto"/>
              <w:left w:val="single" w:sz="4" w:space="0" w:color="auto"/>
              <w:bottom w:val="single" w:sz="4" w:space="0" w:color="auto"/>
              <w:right w:val="single" w:sz="4" w:space="0" w:color="auto"/>
            </w:tcBorders>
            <w:shd w:val="clear" w:color="auto" w:fill="ECECEC"/>
            <w:vAlign w:val="center"/>
          </w:tcPr>
          <w:p w:rsidR="00CC2702" w:rsidRPr="005D43D7" w:rsidRDefault="001C5267" w:rsidP="007C195E">
            <w:pPr>
              <w:spacing w:before="0"/>
              <w:jc w:val="center"/>
              <w:rPr>
                <w:rFonts w:eastAsia="Arial Unicode MS" w:cs="Arial"/>
                <w:sz w:val="22"/>
              </w:rPr>
            </w:pPr>
            <w:r>
              <w:rPr>
                <w:rFonts w:eastAsia="Arial Unicode MS" w:cs="Arial"/>
                <w:sz w:val="22"/>
              </w:rPr>
              <w:t>40</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CC2702" w:rsidRPr="005D43D7" w:rsidRDefault="003F2540" w:rsidP="007C195E">
            <w:pPr>
              <w:spacing w:before="0"/>
              <w:jc w:val="center"/>
              <w:rPr>
                <w:rFonts w:eastAsia="Arial Unicode MS" w:cs="Arial"/>
                <w:sz w:val="22"/>
              </w:rPr>
            </w:pPr>
            <w:r>
              <w:rPr>
                <w:rFonts w:eastAsia="Arial Unicode MS" w:cs="Arial"/>
                <w:sz w:val="22"/>
              </w:rPr>
              <w:t>32</w:t>
            </w:r>
            <w:r w:rsidR="001C5267">
              <w:rPr>
                <w:rFonts w:eastAsia="Arial Unicode MS" w:cs="Arial"/>
                <w:sz w:val="22"/>
              </w:rPr>
              <w:t>,8</w:t>
            </w:r>
          </w:p>
        </w:tc>
      </w:tr>
      <w:tr w:rsidR="00CC2702" w:rsidRPr="005D43D7" w:rsidTr="003F2540">
        <w:trPr>
          <w:trHeight w:val="319"/>
        </w:trPr>
        <w:tc>
          <w:tcPr>
            <w:tcW w:w="5882" w:type="dxa"/>
            <w:tcBorders>
              <w:top w:val="single" w:sz="4" w:space="0" w:color="auto"/>
              <w:left w:val="single" w:sz="4" w:space="0" w:color="auto"/>
              <w:bottom w:val="single" w:sz="4" w:space="0" w:color="auto"/>
              <w:right w:val="single" w:sz="4" w:space="0" w:color="auto"/>
            </w:tcBorders>
            <w:shd w:val="clear" w:color="auto" w:fill="ECECEC"/>
            <w:vAlign w:val="center"/>
          </w:tcPr>
          <w:p w:rsidR="00CC2702" w:rsidRPr="005D43D7" w:rsidRDefault="001C5267" w:rsidP="007C195E">
            <w:pPr>
              <w:spacing w:before="0"/>
              <w:jc w:val="center"/>
              <w:rPr>
                <w:rFonts w:cs="Arial"/>
                <w:sz w:val="22"/>
              </w:rPr>
            </w:pPr>
            <w:r>
              <w:rPr>
                <w:rFonts w:cs="Arial"/>
                <w:sz w:val="22"/>
              </w:rPr>
              <w:t>Lékař</w:t>
            </w:r>
          </w:p>
        </w:tc>
        <w:tc>
          <w:tcPr>
            <w:tcW w:w="1687" w:type="dxa"/>
            <w:tcBorders>
              <w:top w:val="single" w:sz="4" w:space="0" w:color="auto"/>
              <w:left w:val="single" w:sz="4" w:space="0" w:color="auto"/>
              <w:bottom w:val="single" w:sz="4" w:space="0" w:color="auto"/>
              <w:right w:val="single" w:sz="4" w:space="0" w:color="auto"/>
            </w:tcBorders>
            <w:shd w:val="clear" w:color="auto" w:fill="ECECEC"/>
            <w:vAlign w:val="center"/>
          </w:tcPr>
          <w:p w:rsidR="00CC2702" w:rsidRPr="005D43D7" w:rsidRDefault="001C5267" w:rsidP="007C195E">
            <w:pPr>
              <w:spacing w:before="0"/>
              <w:jc w:val="center"/>
              <w:rPr>
                <w:rFonts w:eastAsia="Arial Unicode MS" w:cs="Arial"/>
                <w:sz w:val="22"/>
              </w:rPr>
            </w:pPr>
            <w:r>
              <w:rPr>
                <w:rFonts w:eastAsia="Arial Unicode MS" w:cs="Arial"/>
                <w:sz w:val="22"/>
              </w:rPr>
              <w:t>17</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CC2702" w:rsidRPr="005D43D7" w:rsidRDefault="001C5267" w:rsidP="007C195E">
            <w:pPr>
              <w:spacing w:before="0"/>
              <w:jc w:val="center"/>
              <w:rPr>
                <w:rFonts w:eastAsia="Arial Unicode MS" w:cs="Arial"/>
                <w:sz w:val="22"/>
              </w:rPr>
            </w:pPr>
            <w:r>
              <w:rPr>
                <w:rFonts w:eastAsia="Arial Unicode MS" w:cs="Arial"/>
                <w:sz w:val="22"/>
              </w:rPr>
              <w:t>13,9</w:t>
            </w:r>
          </w:p>
        </w:tc>
      </w:tr>
      <w:tr w:rsidR="00CC2702" w:rsidRPr="005D43D7" w:rsidTr="003F2540">
        <w:trPr>
          <w:trHeight w:val="319"/>
        </w:trPr>
        <w:tc>
          <w:tcPr>
            <w:tcW w:w="5882" w:type="dxa"/>
            <w:tcBorders>
              <w:top w:val="single" w:sz="4" w:space="0" w:color="auto"/>
              <w:left w:val="single" w:sz="4" w:space="0" w:color="auto"/>
              <w:bottom w:val="single" w:sz="4" w:space="0" w:color="auto"/>
              <w:right w:val="single" w:sz="4" w:space="0" w:color="auto"/>
            </w:tcBorders>
            <w:shd w:val="clear" w:color="auto" w:fill="ECECEC"/>
            <w:vAlign w:val="center"/>
          </w:tcPr>
          <w:p w:rsidR="00CC2702" w:rsidRPr="005D43D7" w:rsidRDefault="001C5267" w:rsidP="007C195E">
            <w:pPr>
              <w:spacing w:before="0"/>
              <w:jc w:val="center"/>
              <w:rPr>
                <w:rFonts w:cs="Arial"/>
                <w:sz w:val="22"/>
              </w:rPr>
            </w:pPr>
            <w:r>
              <w:rPr>
                <w:rFonts w:cs="Arial"/>
                <w:sz w:val="22"/>
              </w:rPr>
              <w:t>Ostatní</w:t>
            </w:r>
          </w:p>
        </w:tc>
        <w:tc>
          <w:tcPr>
            <w:tcW w:w="1687" w:type="dxa"/>
            <w:tcBorders>
              <w:top w:val="single" w:sz="4" w:space="0" w:color="auto"/>
              <w:left w:val="single" w:sz="4" w:space="0" w:color="auto"/>
              <w:bottom w:val="single" w:sz="4" w:space="0" w:color="auto"/>
              <w:right w:val="single" w:sz="4" w:space="0" w:color="auto"/>
            </w:tcBorders>
            <w:shd w:val="clear" w:color="auto" w:fill="ECECEC"/>
            <w:vAlign w:val="center"/>
          </w:tcPr>
          <w:p w:rsidR="00CC2702" w:rsidRPr="005D43D7" w:rsidRDefault="001C5267" w:rsidP="007C195E">
            <w:pPr>
              <w:spacing w:before="0"/>
              <w:jc w:val="center"/>
              <w:rPr>
                <w:rFonts w:eastAsia="Arial Unicode MS" w:cs="Arial"/>
                <w:sz w:val="22"/>
              </w:rPr>
            </w:pPr>
            <w:r>
              <w:rPr>
                <w:rFonts w:eastAsia="Arial Unicode MS" w:cs="Arial"/>
                <w:sz w:val="22"/>
              </w:rPr>
              <w:t>9</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CC2702" w:rsidRPr="005D43D7" w:rsidRDefault="001C5267" w:rsidP="007C195E">
            <w:pPr>
              <w:spacing w:before="0"/>
              <w:jc w:val="center"/>
              <w:rPr>
                <w:rFonts w:eastAsia="Arial Unicode MS" w:cs="Arial"/>
                <w:sz w:val="22"/>
              </w:rPr>
            </w:pPr>
            <w:r>
              <w:rPr>
                <w:rFonts w:eastAsia="Arial Unicode MS" w:cs="Arial"/>
                <w:sz w:val="22"/>
              </w:rPr>
              <w:t>7,4</w:t>
            </w:r>
          </w:p>
        </w:tc>
      </w:tr>
      <w:tr w:rsidR="00CC2702" w:rsidRPr="005D43D7" w:rsidTr="003F2540">
        <w:trPr>
          <w:trHeight w:val="340"/>
        </w:trPr>
        <w:tc>
          <w:tcPr>
            <w:tcW w:w="5882" w:type="dxa"/>
            <w:tcBorders>
              <w:top w:val="single" w:sz="4" w:space="0" w:color="auto"/>
              <w:left w:val="single" w:sz="4" w:space="0" w:color="auto"/>
              <w:bottom w:val="single" w:sz="4" w:space="0" w:color="auto"/>
              <w:right w:val="single" w:sz="4" w:space="0" w:color="auto"/>
            </w:tcBorders>
            <w:shd w:val="clear" w:color="auto" w:fill="92D050"/>
            <w:vAlign w:val="center"/>
          </w:tcPr>
          <w:p w:rsidR="00CC2702" w:rsidRPr="005D43D7" w:rsidRDefault="00CC2702" w:rsidP="007C195E">
            <w:pPr>
              <w:spacing w:before="0"/>
              <w:jc w:val="center"/>
              <w:rPr>
                <w:rFonts w:cs="Arial"/>
                <w:b/>
                <w:bCs/>
                <w:sz w:val="22"/>
              </w:rPr>
            </w:pPr>
            <w:r w:rsidRPr="005D43D7">
              <w:rPr>
                <w:rFonts w:cs="Arial"/>
                <w:b/>
                <w:bCs/>
                <w:sz w:val="22"/>
              </w:rPr>
              <w:t>Celkem</w:t>
            </w:r>
          </w:p>
        </w:tc>
        <w:tc>
          <w:tcPr>
            <w:tcW w:w="1687" w:type="dxa"/>
            <w:tcBorders>
              <w:top w:val="single" w:sz="4" w:space="0" w:color="auto"/>
              <w:left w:val="single" w:sz="4" w:space="0" w:color="auto"/>
              <w:bottom w:val="single" w:sz="4" w:space="0" w:color="auto"/>
              <w:right w:val="single" w:sz="4" w:space="0" w:color="auto"/>
            </w:tcBorders>
            <w:shd w:val="clear" w:color="auto" w:fill="92D050"/>
            <w:vAlign w:val="center"/>
          </w:tcPr>
          <w:p w:rsidR="00CC2702" w:rsidRPr="005D43D7" w:rsidRDefault="001C5267" w:rsidP="007C195E">
            <w:pPr>
              <w:spacing w:before="0"/>
              <w:jc w:val="center"/>
              <w:rPr>
                <w:rFonts w:eastAsia="Arial Unicode MS" w:cs="Arial"/>
                <w:b/>
                <w:bCs/>
                <w:sz w:val="22"/>
              </w:rPr>
            </w:pPr>
            <w:r>
              <w:rPr>
                <w:rFonts w:eastAsia="Arial Unicode MS" w:cs="Arial"/>
                <w:b/>
                <w:bCs/>
                <w:sz w:val="22"/>
              </w:rPr>
              <w:t>122</w:t>
            </w:r>
          </w:p>
        </w:tc>
        <w:tc>
          <w:tcPr>
            <w:tcW w:w="1626" w:type="dxa"/>
            <w:tcBorders>
              <w:top w:val="single" w:sz="4" w:space="0" w:color="auto"/>
              <w:left w:val="single" w:sz="4" w:space="0" w:color="auto"/>
              <w:bottom w:val="single" w:sz="4" w:space="0" w:color="auto"/>
              <w:right w:val="single" w:sz="4" w:space="0" w:color="auto"/>
            </w:tcBorders>
            <w:shd w:val="clear" w:color="auto" w:fill="92D050"/>
            <w:vAlign w:val="center"/>
          </w:tcPr>
          <w:p w:rsidR="00CC2702" w:rsidRPr="005D43D7" w:rsidRDefault="00CC2702" w:rsidP="007C195E">
            <w:pPr>
              <w:spacing w:before="0"/>
              <w:jc w:val="center"/>
              <w:rPr>
                <w:rFonts w:eastAsia="Arial Unicode MS" w:cs="Arial"/>
                <w:b/>
                <w:bCs/>
                <w:sz w:val="22"/>
              </w:rPr>
            </w:pPr>
            <w:r w:rsidRPr="005D43D7">
              <w:rPr>
                <w:rFonts w:cs="Arial" w:hint="eastAsia"/>
                <w:b/>
                <w:bCs/>
                <w:sz w:val="22"/>
              </w:rPr>
              <w:t>100</w:t>
            </w:r>
            <w:r w:rsidRPr="005D43D7">
              <w:rPr>
                <w:rFonts w:cs="Arial"/>
                <w:b/>
                <w:bCs/>
                <w:sz w:val="22"/>
              </w:rPr>
              <w:t>,0</w:t>
            </w:r>
          </w:p>
        </w:tc>
      </w:tr>
    </w:tbl>
    <w:p w:rsidR="00CC2702" w:rsidRDefault="00CC2702" w:rsidP="00C50D06">
      <w:pPr>
        <w:spacing w:before="0"/>
        <w:jc w:val="right"/>
        <w:rPr>
          <w:sz w:val="16"/>
        </w:rPr>
      </w:pPr>
      <w:r>
        <w:rPr>
          <w:sz w:val="16"/>
        </w:rPr>
        <w:t>Tabulka: AUGUR Consulting</w:t>
      </w:r>
    </w:p>
    <w:p w:rsidR="008F7E75" w:rsidRDefault="00CC2702" w:rsidP="00C50D06">
      <w:pPr>
        <w:rPr>
          <w:sz w:val="20"/>
        </w:rPr>
      </w:pPr>
      <w:r w:rsidRPr="00222E47">
        <w:rPr>
          <w:b/>
          <w:sz w:val="20"/>
        </w:rPr>
        <w:t xml:space="preserve">Ostatní </w:t>
      </w:r>
      <w:r w:rsidRPr="00222E47">
        <w:rPr>
          <w:sz w:val="20"/>
        </w:rPr>
        <w:t>(tj. odpovědi se stati</w:t>
      </w:r>
      <w:r>
        <w:rPr>
          <w:sz w:val="20"/>
        </w:rPr>
        <w:t>sticky nevýznamnými četnostmi):</w:t>
      </w:r>
      <w:r w:rsidR="001C5267">
        <w:rPr>
          <w:sz w:val="20"/>
        </w:rPr>
        <w:t xml:space="preserve"> přátelé, </w:t>
      </w:r>
      <w:r w:rsidR="003F2540">
        <w:rPr>
          <w:sz w:val="20"/>
        </w:rPr>
        <w:t>kompetentní</w:t>
      </w:r>
      <w:r w:rsidR="001C5267">
        <w:rPr>
          <w:sz w:val="20"/>
        </w:rPr>
        <w:t xml:space="preserve"> pracovník apod.</w:t>
      </w:r>
    </w:p>
    <w:p w:rsidR="00C326EE" w:rsidRDefault="00502F4D" w:rsidP="00D33DC2">
      <w:r>
        <w:t>Podle názoru více než poloviny respondentů pociťují senioři jako největší problém ve svém životě osamělost (51,8 %) a nemožnost postarat se sám o sebe (50,4 %).</w:t>
      </w:r>
      <w:r w:rsidR="00242181">
        <w:t xml:space="preserve"> Dále pak např. pochůzky po úřadech</w:t>
      </w:r>
      <w:r w:rsidR="00852C1B">
        <w:t xml:space="preserve"> a</w:t>
      </w:r>
      <w:r w:rsidR="00242181">
        <w:t xml:space="preserve"> návštěvy u lékaře (40,4 %)</w:t>
      </w:r>
      <w:r w:rsidR="00852C1B">
        <w:t xml:space="preserve">. </w:t>
      </w:r>
    </w:p>
    <w:p w:rsidR="00CC2702" w:rsidRPr="00D33DC2" w:rsidRDefault="00852C1B" w:rsidP="00D33DC2">
      <w:r>
        <w:t xml:space="preserve">Za největší problém však </w:t>
      </w:r>
      <w:r w:rsidR="00C326EE">
        <w:t xml:space="preserve">také </w:t>
      </w:r>
      <w:r w:rsidRPr="00C326EE">
        <w:rPr>
          <w:b/>
        </w:rPr>
        <w:t>téměř čtvrtina dotázaných (22 %)</w:t>
      </w:r>
      <w:r>
        <w:t xml:space="preserve"> uvedla</w:t>
      </w:r>
      <w:r w:rsidR="00242181">
        <w:t xml:space="preserve"> </w:t>
      </w:r>
      <w:r w:rsidR="00242181" w:rsidRPr="00C326EE">
        <w:rPr>
          <w:b/>
        </w:rPr>
        <w:t>absentující denní stacionář pro seniory</w:t>
      </w:r>
      <w:r w:rsidR="00242181">
        <w:t xml:space="preserve"> </w:t>
      </w:r>
      <w:r w:rsidR="00242181" w:rsidRPr="00C326EE">
        <w:rPr>
          <w:b/>
        </w:rPr>
        <w:t>ve Velkém Meziříčí</w:t>
      </w:r>
      <w:r w:rsidR="00242181">
        <w:t>,</w:t>
      </w:r>
      <w:r w:rsidR="00C326EE">
        <w:t xml:space="preserve"> dále pak</w:t>
      </w:r>
      <w:r w:rsidR="00242181">
        <w:t xml:space="preserve"> běžné nákupy (21,3 %), nedostatek bezbariérových přístupů (18,4 %) a ztížená možnost získat místo v pobytovém zařízení (18,4 %). </w:t>
      </w:r>
      <w:r w:rsidR="00AB1690">
        <w:t>Detailní výsledky jsou uve</w:t>
      </w:r>
      <w:r w:rsidR="00D33DC2">
        <w:t xml:space="preserve">deny v následujícím grafu č. 19. </w:t>
      </w:r>
    </w:p>
    <w:p w:rsidR="00D33DC2" w:rsidRDefault="00D33DC2" w:rsidP="00C50D06"/>
    <w:p w:rsidR="00D33DC2" w:rsidRDefault="00D33DC2" w:rsidP="00D33DC2">
      <w:pPr>
        <w:pStyle w:val="Titulek"/>
        <w:keepNext/>
      </w:pPr>
      <w:bookmarkStart w:id="92" w:name="_Toc367357521"/>
      <w:r>
        <w:t xml:space="preserve">Graf č. </w:t>
      </w:r>
      <w:r w:rsidR="00EE3646">
        <w:fldChar w:fldCharType="begin"/>
      </w:r>
      <w:r w:rsidR="00EE3646">
        <w:instrText xml:space="preserve"> SEQ Graf_č. \* ARABIC </w:instrText>
      </w:r>
      <w:r w:rsidR="00EE3646">
        <w:fldChar w:fldCharType="separate"/>
      </w:r>
      <w:r w:rsidR="00B16210">
        <w:rPr>
          <w:noProof/>
        </w:rPr>
        <w:t>19</w:t>
      </w:r>
      <w:r w:rsidR="00EE3646">
        <w:rPr>
          <w:noProof/>
        </w:rPr>
        <w:fldChar w:fldCharType="end"/>
      </w:r>
      <w:r>
        <w:t>:</w:t>
      </w:r>
      <w:r>
        <w:rPr>
          <w:b w:val="0"/>
        </w:rPr>
        <w:t xml:space="preserve"> Největší problém v životě seniorů.</w:t>
      </w:r>
      <w:bookmarkEnd w:id="92"/>
    </w:p>
    <w:p w:rsidR="00CC2702" w:rsidRDefault="0072544D" w:rsidP="00C50D06">
      <w:pPr>
        <w:rPr>
          <w:color w:val="FF0000"/>
        </w:rPr>
      </w:pPr>
      <w:r w:rsidRPr="00640D8E">
        <w:rPr>
          <w:noProof/>
          <w:lang w:eastAsia="cs-CZ"/>
        </w:rPr>
        <mc:AlternateContent>
          <mc:Choice Requires="wps">
            <w:drawing>
              <wp:anchor distT="0" distB="0" distL="114300" distR="114300" simplePos="0" relativeHeight="251705344" behindDoc="0" locked="0" layoutInCell="1" allowOverlap="1" wp14:anchorId="7859CD68" wp14:editId="282A1488">
                <wp:simplePos x="0" y="0"/>
                <wp:positionH relativeFrom="column">
                  <wp:posOffset>141605</wp:posOffset>
                </wp:positionH>
                <wp:positionV relativeFrom="paragraph">
                  <wp:posOffset>5464972</wp:posOffset>
                </wp:positionV>
                <wp:extent cx="5592445" cy="368935"/>
                <wp:effectExtent l="0" t="0" r="0" b="0"/>
                <wp:wrapNone/>
                <wp:docPr id="2075"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A54739">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w:t>
                            </w:r>
                            <w:r w:rsidRPr="00105E1D">
                              <w:rPr>
                                <w:rFonts w:asciiTheme="minorHAnsi" w:hAnsi="Calibri" w:cstheme="minorBidi"/>
                                <w:color w:val="A6A6A6" w:themeColor="background1" w:themeShade="A6"/>
                                <w:kern w:val="24"/>
                                <w:sz w:val="18"/>
                                <w:szCs w:val="18"/>
                              </w:rPr>
                              <w:t xml:space="preserve"> </w:t>
                            </w:r>
                            <w:r>
                              <w:rPr>
                                <w:rFonts w:asciiTheme="minorHAnsi" w:hAnsi="Calibri" w:cstheme="minorBidi"/>
                                <w:color w:val="A6A6A6" w:themeColor="background1" w:themeShade="A6"/>
                                <w:kern w:val="24"/>
                                <w:sz w:val="18"/>
                                <w:szCs w:val="18"/>
                              </w:rPr>
                              <w:t>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29" type="#_x0000_t202" style="position:absolute;left:0;text-align:left;margin-left:11.15pt;margin-top:430.3pt;width:440.35pt;height:29.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" filled="f" stroked="f">
                <v:textbox style="mso-fit-shape-to-text:t">
                  <w:txbxContent>
                    <w:p w:rsidR="00D822DB" w:rsidRDefault="00D822DB" w:rsidP="00A54739">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w:t>
                      </w:r>
                      <w:r w:rsidRPr="00105E1D">
                        <w:rPr>
                          <w:rFonts w:asciiTheme="minorHAnsi" w:hAnsi="Calibri" w:cstheme="minorBidi"/>
                          <w:color w:val="A6A6A6" w:themeColor="background1" w:themeShade="A6"/>
                          <w:kern w:val="24"/>
                          <w:sz w:val="18"/>
                          <w:szCs w:val="18"/>
                        </w:rPr>
                        <w:t xml:space="preserve"> </w:t>
                      </w:r>
                      <w:r>
                        <w:rPr>
                          <w:rFonts w:asciiTheme="minorHAnsi" w:hAnsi="Calibri" w:cstheme="minorBidi"/>
                          <w:color w:val="A6A6A6" w:themeColor="background1" w:themeShade="A6"/>
                          <w:kern w:val="24"/>
                          <w:sz w:val="18"/>
                          <w:szCs w:val="18"/>
                        </w:rPr>
                        <w:t>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CC2702" w:rsidRPr="00792D89">
        <w:rPr>
          <w:noProof/>
          <w:color w:val="FF0000"/>
          <w:lang w:eastAsia="cs-CZ"/>
        </w:rPr>
        <w:drawing>
          <wp:inline distT="0" distB="0" distL="0" distR="0" wp14:anchorId="716261B9" wp14:editId="664BD883">
            <wp:extent cx="5730949" cy="5667154"/>
            <wp:effectExtent l="0" t="0" r="22225" b="10160"/>
            <wp:docPr id="4"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C1AB3" w:rsidRPr="00A54739" w:rsidRDefault="001C1AB3" w:rsidP="00C50D06">
      <w:pPr>
        <w:rPr>
          <w:sz w:val="20"/>
        </w:rPr>
      </w:pPr>
      <w:r w:rsidRPr="001C1AB3">
        <w:rPr>
          <w:b/>
          <w:sz w:val="20"/>
        </w:rPr>
        <w:t xml:space="preserve">Jiné: </w:t>
      </w:r>
      <w:r w:rsidR="00A54739">
        <w:rPr>
          <w:sz w:val="20"/>
        </w:rPr>
        <w:t>arogantní lékaři vůči seniorům, finanční a zdravotní problémy, nedostatek autobusových zastávek, apod.</w:t>
      </w:r>
    </w:p>
    <w:p w:rsidR="001C1AB3" w:rsidRDefault="001C1AB3" w:rsidP="00C50D06"/>
    <w:p w:rsidR="0038703C" w:rsidRDefault="0038703C">
      <w:pPr>
        <w:spacing w:before="0" w:after="200" w:line="276" w:lineRule="auto"/>
        <w:jc w:val="left"/>
      </w:pPr>
      <w:r>
        <w:br w:type="page"/>
      </w:r>
    </w:p>
    <w:p w:rsidR="00AB1690" w:rsidRDefault="00AB1690" w:rsidP="00AB1690">
      <w:r>
        <w:t>Z výsledků analýz vyplývá, že více než čtyři respondenti z deseti (42,3 %) nevidí žádný problém s poskytováním informací. Více než tři dotázaní z deseti (32,4 %) se domnívají, že informace se často nedostanou k těm, kteří je potřebují, pro dva respondenty z deseti je největším problémem to, že informací je málo (19,7 %).</w:t>
      </w:r>
      <w:r w:rsidR="00DB0D8E">
        <w:t xml:space="preserve"> Dále se dotázaní vyjádřili, že informace jsou nesrozumitelné – moc odborných výrazů (9,2 %), nepřehledné – nelze se v nich vyznat (8,5 %), nejsou aktuální (2,8 %), z některých oblastí zcela chybí (2,1 %) a roztříštěné – uvedeny na více místech (2,1 %). Situaci do</w:t>
      </w:r>
      <w:r w:rsidR="001A7F66">
        <w:t>kumentuje následující graf č. 20</w:t>
      </w:r>
      <w:r w:rsidR="00DB0D8E">
        <w:t>.</w:t>
      </w:r>
    </w:p>
    <w:p w:rsidR="0072544D" w:rsidRDefault="0072544D" w:rsidP="00C50D06"/>
    <w:p w:rsidR="001A7F66" w:rsidRDefault="001A7F66" w:rsidP="001A7F66">
      <w:pPr>
        <w:pStyle w:val="Titulek"/>
        <w:keepNext/>
      </w:pPr>
      <w:bookmarkStart w:id="93" w:name="_Toc367357522"/>
      <w:r>
        <w:t xml:space="preserve">Graf č. </w:t>
      </w:r>
      <w:r w:rsidR="00EE3646">
        <w:fldChar w:fldCharType="begin"/>
      </w:r>
      <w:r w:rsidR="00EE3646">
        <w:instrText xml:space="preserve"> SEQ Graf_č. \* ARABIC </w:instrText>
      </w:r>
      <w:r w:rsidR="00EE3646">
        <w:fldChar w:fldCharType="separate"/>
      </w:r>
      <w:r w:rsidR="00B16210">
        <w:rPr>
          <w:noProof/>
        </w:rPr>
        <w:t>20</w:t>
      </w:r>
      <w:r w:rsidR="00EE3646">
        <w:rPr>
          <w:noProof/>
        </w:rPr>
        <w:fldChar w:fldCharType="end"/>
      </w:r>
      <w:r>
        <w:t xml:space="preserve">: </w:t>
      </w:r>
      <w:r>
        <w:rPr>
          <w:b w:val="0"/>
        </w:rPr>
        <w:t>Problémy s poskytováním informací o sociálních službách.</w:t>
      </w:r>
      <w:bookmarkEnd w:id="93"/>
    </w:p>
    <w:p w:rsidR="001C1AB3" w:rsidRDefault="0072544D" w:rsidP="00C50D06">
      <w:pPr>
        <w:rPr>
          <w:b/>
          <w:sz w:val="20"/>
        </w:rPr>
      </w:pPr>
      <w:r w:rsidRPr="00640D8E">
        <w:rPr>
          <w:noProof/>
          <w:lang w:eastAsia="cs-CZ"/>
        </w:rPr>
        <mc:AlternateContent>
          <mc:Choice Requires="wps">
            <w:drawing>
              <wp:anchor distT="0" distB="0" distL="114300" distR="114300" simplePos="0" relativeHeight="251672576" behindDoc="0" locked="0" layoutInCell="1" allowOverlap="1" wp14:anchorId="06BDFF6C" wp14:editId="41FC7FF1">
                <wp:simplePos x="0" y="0"/>
                <wp:positionH relativeFrom="column">
                  <wp:posOffset>62230</wp:posOffset>
                </wp:positionH>
                <wp:positionV relativeFrom="paragraph">
                  <wp:posOffset>2658745</wp:posOffset>
                </wp:positionV>
                <wp:extent cx="5592445" cy="368935"/>
                <wp:effectExtent l="0" t="0" r="0" b="0"/>
                <wp:wrapNone/>
                <wp:docPr id="11"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1C1AB3">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100 %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30" type="#_x0000_t202" style="position:absolute;left:0;text-align:left;margin-left:4.9pt;margin-top:209.35pt;width:440.35pt;height:29.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" filled="f" stroked="f">
                <v:textbox style="mso-fit-shape-to-text:t">
                  <w:txbxContent>
                    <w:p w:rsidR="00D822DB" w:rsidRDefault="00D822DB" w:rsidP="001C1AB3">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100 %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1C1AB3" w:rsidRPr="00792D89">
        <w:rPr>
          <w:noProof/>
          <w:color w:val="FF0000"/>
          <w:lang w:eastAsia="cs-CZ"/>
        </w:rPr>
        <w:drawing>
          <wp:inline distT="0" distB="0" distL="0" distR="0" wp14:anchorId="0EC512C0" wp14:editId="396D0D31">
            <wp:extent cx="5730949" cy="2870791"/>
            <wp:effectExtent l="0" t="0" r="22225" b="25400"/>
            <wp:docPr id="9"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C1AB3" w:rsidRPr="00105E1D" w:rsidRDefault="00105E1D" w:rsidP="00C50D06">
      <w:pPr>
        <w:rPr>
          <w:sz w:val="20"/>
        </w:rPr>
      </w:pPr>
      <w:r>
        <w:rPr>
          <w:b/>
          <w:sz w:val="20"/>
        </w:rPr>
        <w:t xml:space="preserve">Jiné: </w:t>
      </w:r>
      <w:r>
        <w:rPr>
          <w:sz w:val="20"/>
        </w:rPr>
        <w:t>nedostanu se mezi lidi.</w:t>
      </w:r>
    </w:p>
    <w:p w:rsidR="00105E1D" w:rsidRDefault="00105E1D" w:rsidP="00C50D06">
      <w:pPr>
        <w:rPr>
          <w:b/>
          <w:sz w:val="20"/>
        </w:rPr>
      </w:pPr>
    </w:p>
    <w:p w:rsidR="00DB0D8E" w:rsidRDefault="00331E25" w:rsidP="00DB0D8E">
      <w:r>
        <w:t>Z následujícího grafu č. 21</w:t>
      </w:r>
      <w:r w:rsidR="00DB0D8E">
        <w:t xml:space="preserve"> vyplývá, že </w:t>
      </w:r>
      <w:r w:rsidR="00C73A54">
        <w:t xml:space="preserve">respondentům by nejvíce vyhovovalo získávat více informací o sociálních službách od lékařů (39,0 %). Více jak čtvrtina dotázaných (27,7 %) by uvítala více informací v týdeníku Velkomeziříčsko a téměř stejně početná skupina (27,0 %) označila situaci za dobrou bez potřeby něco měnit. Dále by respondentům vyhovovaly informační letáčky s nabídkou sociálních služeb přímo do schránek (22,7 %), katalog sociálních a dalších souvisejících služeb (20,6 %), získávat více informací přímo u poskytovatelů sociálních služeb (19,1 %) nebo by uvítali informační centrum speciálně zaměřené na sociální oblast (17,7 %). </w:t>
      </w:r>
    </w:p>
    <w:p w:rsidR="00331E25" w:rsidRDefault="00105E1D" w:rsidP="00C50D06">
      <w:r w:rsidRPr="00640D8E">
        <w:rPr>
          <w:noProof/>
          <w:lang w:eastAsia="cs-CZ"/>
        </w:rPr>
        <mc:AlternateContent>
          <mc:Choice Requires="wps">
            <w:drawing>
              <wp:anchor distT="0" distB="0" distL="114300" distR="114300" simplePos="0" relativeHeight="251707392" behindDoc="0" locked="0" layoutInCell="1" allowOverlap="1" wp14:anchorId="279FE88B" wp14:editId="3CA8EADF">
                <wp:simplePos x="0" y="0"/>
                <wp:positionH relativeFrom="column">
                  <wp:posOffset>75565</wp:posOffset>
                </wp:positionH>
                <wp:positionV relativeFrom="paragraph">
                  <wp:posOffset>5313001</wp:posOffset>
                </wp:positionV>
                <wp:extent cx="5592445" cy="368935"/>
                <wp:effectExtent l="0" t="0" r="0" b="0"/>
                <wp:wrapNone/>
                <wp:docPr id="2078"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105E1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31" type="#_x0000_t202" style="position:absolute;left:0;text-align:left;margin-left:5.95pt;margin-top:418.35pt;width:440.35pt;height:29.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" filled="f" stroked="f">
                <v:textbox style="mso-fit-shape-to-text:t">
                  <w:txbxContent>
                    <w:p w:rsidR="00D822DB" w:rsidRDefault="00D822DB" w:rsidP="00105E1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p>
    <w:p w:rsidR="00331E25" w:rsidRDefault="00331E25" w:rsidP="00331E25">
      <w:pPr>
        <w:pStyle w:val="Titulek"/>
        <w:keepNext/>
      </w:pPr>
      <w:bookmarkStart w:id="94" w:name="_Toc367357523"/>
      <w:r>
        <w:t xml:space="preserve">Graf č. </w:t>
      </w:r>
      <w:r w:rsidR="00EE3646">
        <w:fldChar w:fldCharType="begin"/>
      </w:r>
      <w:r w:rsidR="00EE3646">
        <w:instrText xml:space="preserve"> SEQ Graf_č. \* ARABIC </w:instrText>
      </w:r>
      <w:r w:rsidR="00EE3646">
        <w:fldChar w:fldCharType="separate"/>
      </w:r>
      <w:r w:rsidR="00B16210">
        <w:rPr>
          <w:noProof/>
        </w:rPr>
        <w:t>21</w:t>
      </w:r>
      <w:r w:rsidR="00EE3646">
        <w:rPr>
          <w:noProof/>
        </w:rPr>
        <w:fldChar w:fldCharType="end"/>
      </w:r>
      <w:r>
        <w:t xml:space="preserve">: </w:t>
      </w:r>
      <w:r>
        <w:rPr>
          <w:b w:val="0"/>
        </w:rPr>
        <w:t>Vyhovující způsob poskytování informací o sociálních službách.</w:t>
      </w:r>
      <w:bookmarkEnd w:id="94"/>
    </w:p>
    <w:p w:rsidR="001C1AB3" w:rsidRDefault="0072544D" w:rsidP="00C50D06">
      <w:pPr>
        <w:rPr>
          <w:b/>
          <w:sz w:val="20"/>
        </w:rPr>
      </w:pPr>
      <w:r w:rsidRPr="00640D8E">
        <w:rPr>
          <w:noProof/>
          <w:lang w:eastAsia="cs-CZ"/>
        </w:rPr>
        <mc:AlternateContent>
          <mc:Choice Requires="wps">
            <w:drawing>
              <wp:anchor distT="0" distB="0" distL="114300" distR="114300" simplePos="0" relativeHeight="251734016" behindDoc="0" locked="0" layoutInCell="1" allowOverlap="1" wp14:anchorId="374746B4" wp14:editId="44702B20">
                <wp:simplePos x="0" y="0"/>
                <wp:positionH relativeFrom="column">
                  <wp:posOffset>65405</wp:posOffset>
                </wp:positionH>
                <wp:positionV relativeFrom="paragraph">
                  <wp:posOffset>5307330</wp:posOffset>
                </wp:positionV>
                <wp:extent cx="5592445" cy="368935"/>
                <wp:effectExtent l="0" t="0" r="0" b="0"/>
                <wp:wrapNone/>
                <wp:docPr id="20"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72544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32" type="#_x0000_t202" style="position:absolute;left:0;text-align:left;margin-left:5.15pt;margin-top:417.9pt;width:440.35pt;height:29.0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" filled="f" stroked="f">
                <v:textbox style="mso-fit-shape-to-text:t">
                  <w:txbxContent>
                    <w:p w:rsidR="00D822DB" w:rsidRDefault="00D822DB" w:rsidP="0072544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1C1AB3" w:rsidRPr="00792D89">
        <w:rPr>
          <w:noProof/>
          <w:color w:val="FF0000"/>
          <w:lang w:eastAsia="cs-CZ"/>
        </w:rPr>
        <w:drawing>
          <wp:inline distT="0" distB="0" distL="0" distR="0" wp14:anchorId="1E334C42" wp14:editId="31014D74">
            <wp:extent cx="5730949" cy="5497033"/>
            <wp:effectExtent l="0" t="0" r="22225" b="27940"/>
            <wp:docPr id="12"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C1AB3" w:rsidRDefault="001C1AB3" w:rsidP="00C50D06">
      <w:pPr>
        <w:rPr>
          <w:b/>
          <w:sz w:val="20"/>
        </w:rPr>
      </w:pPr>
    </w:p>
    <w:p w:rsidR="001C1AB3" w:rsidRDefault="0038703C" w:rsidP="0038703C">
      <w:pPr>
        <w:rPr>
          <w:rFonts w:cs="Arial"/>
        </w:rPr>
      </w:pPr>
      <w:r>
        <w:t>Druhy pomoci, které by pomohl</w:t>
      </w:r>
      <w:r w:rsidR="00731F84">
        <w:t>y</w:t>
      </w:r>
      <w:r>
        <w:t xml:space="preserve"> usnadnit život seniorům a jejich blízkému okolí, byly identifikovány </w:t>
      </w:r>
      <w:r>
        <w:rPr>
          <w:rFonts w:cs="Arial"/>
        </w:rPr>
        <w:t>prostřednictvím volné otázky (bez nabízených variant odpovědí).</w:t>
      </w:r>
      <w:r w:rsidR="00731F84">
        <w:rPr>
          <w:rFonts w:cs="Arial"/>
        </w:rPr>
        <w:t xml:space="preserve"> Odpovědi byly kategorizovány a jsou uv</w:t>
      </w:r>
      <w:r w:rsidR="00331E25">
        <w:rPr>
          <w:rFonts w:cs="Arial"/>
        </w:rPr>
        <w:t>edeny v následující tabulce č. 3</w:t>
      </w:r>
      <w:r w:rsidR="00594151">
        <w:rPr>
          <w:rFonts w:cs="Arial"/>
        </w:rPr>
        <w:t>1</w:t>
      </w:r>
      <w:r w:rsidR="00731F84">
        <w:rPr>
          <w:rFonts w:cs="Arial"/>
        </w:rPr>
        <w:t xml:space="preserve">. Nejvíce by situaci pomohla usnadnit </w:t>
      </w:r>
      <w:r w:rsidR="00C326EE" w:rsidRPr="00C326EE">
        <w:rPr>
          <w:rFonts w:cs="Arial"/>
          <w:b/>
        </w:rPr>
        <w:t xml:space="preserve">odlehčovací </w:t>
      </w:r>
      <w:r w:rsidR="00731F84" w:rsidRPr="00C326EE">
        <w:rPr>
          <w:rFonts w:cs="Arial"/>
          <w:b/>
        </w:rPr>
        <w:t xml:space="preserve">sociální služba a </w:t>
      </w:r>
      <w:r w:rsidR="00C326EE" w:rsidRPr="00C326EE">
        <w:rPr>
          <w:rFonts w:cs="Arial"/>
          <w:b/>
        </w:rPr>
        <w:t>tísňová péče</w:t>
      </w:r>
      <w:r w:rsidR="00731F84" w:rsidRPr="00C326EE">
        <w:rPr>
          <w:rFonts w:cs="Arial"/>
          <w:b/>
        </w:rPr>
        <w:t>.</w:t>
      </w:r>
    </w:p>
    <w:p w:rsidR="00731F84" w:rsidRDefault="00731F84" w:rsidP="0038703C"/>
    <w:p w:rsidR="00731F84" w:rsidRDefault="00731F84">
      <w:pPr>
        <w:spacing w:before="0" w:after="200" w:line="276" w:lineRule="auto"/>
        <w:jc w:val="left"/>
        <w:rPr>
          <w:b/>
          <w:bCs/>
          <w:color w:val="0D0D0D" w:themeColor="text1" w:themeTint="F2"/>
          <w:sz w:val="20"/>
          <w:szCs w:val="18"/>
        </w:rPr>
      </w:pPr>
      <w:r>
        <w:br w:type="page"/>
      </w:r>
    </w:p>
    <w:p w:rsidR="00331E25" w:rsidRDefault="00331E25" w:rsidP="00331E25">
      <w:pPr>
        <w:pStyle w:val="Titulek"/>
        <w:keepNext/>
      </w:pPr>
      <w:bookmarkStart w:id="95" w:name="_Toc367794875"/>
      <w:r>
        <w:t xml:space="preserve">Tabulka č. </w:t>
      </w:r>
      <w:r w:rsidR="00EE3646">
        <w:fldChar w:fldCharType="begin"/>
      </w:r>
      <w:r w:rsidR="00EE3646">
        <w:instrText xml:space="preserve"> SEQ Tabulka_č. \* ARABIC </w:instrText>
      </w:r>
      <w:r w:rsidR="00EE3646">
        <w:fldChar w:fldCharType="separate"/>
      </w:r>
      <w:r w:rsidR="00594151">
        <w:rPr>
          <w:noProof/>
        </w:rPr>
        <w:t>31</w:t>
      </w:r>
      <w:r w:rsidR="00EE3646">
        <w:rPr>
          <w:noProof/>
        </w:rPr>
        <w:fldChar w:fldCharType="end"/>
      </w:r>
      <w:r>
        <w:t xml:space="preserve">: </w:t>
      </w:r>
      <w:r>
        <w:rPr>
          <w:b w:val="0"/>
        </w:rPr>
        <w:t>Druhy pomoci, které by pomohli usnadnit život.</w:t>
      </w:r>
      <w:bookmarkEnd w:id="95"/>
    </w:p>
    <w:tbl>
      <w:tblPr>
        <w:tblW w:w="91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599"/>
        <w:gridCol w:w="1842"/>
        <w:gridCol w:w="1754"/>
      </w:tblGrid>
      <w:tr w:rsidR="001C1AB3" w:rsidRPr="003612F2" w:rsidTr="00ED3A43">
        <w:trPr>
          <w:cantSplit/>
          <w:trHeight w:val="871"/>
        </w:trPr>
        <w:tc>
          <w:tcPr>
            <w:tcW w:w="5599" w:type="dxa"/>
            <w:vMerge w:val="restart"/>
            <w:tcBorders>
              <w:top w:val="single" w:sz="4" w:space="0" w:color="auto"/>
              <w:left w:val="single" w:sz="4" w:space="0" w:color="auto"/>
            </w:tcBorders>
            <w:shd w:val="clear" w:color="auto" w:fill="92D050"/>
            <w:vAlign w:val="center"/>
          </w:tcPr>
          <w:p w:rsidR="001C1AB3" w:rsidRPr="003612F2" w:rsidRDefault="001C1AB3" w:rsidP="007C195E">
            <w:pPr>
              <w:spacing w:before="0"/>
              <w:jc w:val="center"/>
              <w:rPr>
                <w:rFonts w:cs="Arial"/>
                <w:b/>
                <w:bCs/>
                <w:sz w:val="20"/>
                <w:szCs w:val="20"/>
              </w:rPr>
            </w:pPr>
            <w:r w:rsidRPr="003612F2">
              <w:rPr>
                <w:rFonts w:cs="Arial"/>
                <w:sz w:val="20"/>
                <w:szCs w:val="20"/>
              </w:rPr>
              <w:br w:type="page"/>
            </w:r>
            <w:r>
              <w:rPr>
                <w:rFonts w:cs="Arial"/>
                <w:b/>
              </w:rPr>
              <w:t>Můžete uvést, co by Vám ve Vaší situaci nejvíce pomohlo, co by Vám usnadnilo život?</w:t>
            </w:r>
          </w:p>
        </w:tc>
        <w:tc>
          <w:tcPr>
            <w:tcW w:w="359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D3A43" w:rsidRDefault="001C1AB3" w:rsidP="007C195E">
            <w:pPr>
              <w:spacing w:before="0"/>
              <w:jc w:val="center"/>
              <w:outlineLvl w:val="6"/>
              <w:rPr>
                <w:rFonts w:cs="Arial"/>
                <w:b/>
                <w:bCs/>
                <w:sz w:val="20"/>
                <w:szCs w:val="20"/>
              </w:rPr>
            </w:pPr>
            <w:r w:rsidRPr="003612F2">
              <w:rPr>
                <w:rFonts w:cs="Arial"/>
                <w:b/>
                <w:bCs/>
                <w:sz w:val="20"/>
                <w:szCs w:val="20"/>
              </w:rPr>
              <w:t xml:space="preserve">Na volnou otázku </w:t>
            </w:r>
            <w:r w:rsidRPr="003612F2">
              <w:rPr>
                <w:rFonts w:cs="Arial"/>
                <w:sz w:val="20"/>
                <w:szCs w:val="20"/>
              </w:rPr>
              <w:t>(otázka bez nabízených variant)</w:t>
            </w:r>
            <w:r w:rsidR="00ED3A43">
              <w:rPr>
                <w:rFonts w:cs="Arial"/>
                <w:b/>
                <w:bCs/>
                <w:sz w:val="20"/>
                <w:szCs w:val="20"/>
              </w:rPr>
              <w:t xml:space="preserve"> </w:t>
            </w:r>
          </w:p>
          <w:p w:rsidR="001C1AB3" w:rsidRPr="003612F2" w:rsidRDefault="00ED3A43" w:rsidP="007C195E">
            <w:pPr>
              <w:spacing w:before="0"/>
              <w:jc w:val="center"/>
              <w:outlineLvl w:val="6"/>
              <w:rPr>
                <w:rFonts w:cs="Arial"/>
                <w:b/>
                <w:bCs/>
                <w:sz w:val="20"/>
                <w:szCs w:val="20"/>
              </w:rPr>
            </w:pPr>
            <w:r>
              <w:rPr>
                <w:rFonts w:cs="Arial"/>
                <w:b/>
                <w:bCs/>
                <w:sz w:val="20"/>
                <w:szCs w:val="20"/>
              </w:rPr>
              <w:t xml:space="preserve">odpovídalo 70,4 </w:t>
            </w:r>
            <w:r w:rsidR="001C1AB3" w:rsidRPr="003612F2">
              <w:rPr>
                <w:rFonts w:cs="Arial"/>
                <w:b/>
                <w:bCs/>
                <w:sz w:val="20"/>
                <w:szCs w:val="20"/>
              </w:rPr>
              <w:t>% respondentů.</w:t>
            </w:r>
          </w:p>
        </w:tc>
      </w:tr>
      <w:tr w:rsidR="001C1AB3" w:rsidRPr="003612F2" w:rsidTr="00ED3A43">
        <w:trPr>
          <w:cantSplit/>
          <w:trHeight w:val="413"/>
        </w:trPr>
        <w:tc>
          <w:tcPr>
            <w:tcW w:w="5599" w:type="dxa"/>
            <w:vMerge/>
            <w:tcBorders>
              <w:left w:val="single" w:sz="4" w:space="0" w:color="auto"/>
              <w:bottom w:val="single" w:sz="4" w:space="0" w:color="auto"/>
            </w:tcBorders>
            <w:shd w:val="clear" w:color="auto" w:fill="92D050"/>
            <w:vAlign w:val="center"/>
          </w:tcPr>
          <w:p w:rsidR="001C1AB3" w:rsidRPr="003612F2" w:rsidRDefault="001C1AB3" w:rsidP="007C195E">
            <w:pPr>
              <w:spacing w:before="0"/>
              <w:jc w:val="center"/>
              <w:rPr>
                <w:rFonts w:cs="Arial"/>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92D050"/>
            <w:vAlign w:val="center"/>
          </w:tcPr>
          <w:p w:rsidR="001C1AB3" w:rsidRPr="00CC2702" w:rsidRDefault="001C1AB3" w:rsidP="007C195E">
            <w:pPr>
              <w:spacing w:before="0"/>
              <w:jc w:val="center"/>
              <w:outlineLvl w:val="6"/>
              <w:rPr>
                <w:rFonts w:cs="Arial"/>
                <w:b/>
                <w:bCs/>
                <w:sz w:val="22"/>
                <w:szCs w:val="20"/>
              </w:rPr>
            </w:pPr>
            <w:r w:rsidRPr="00CC2702">
              <w:rPr>
                <w:rFonts w:cs="Arial"/>
                <w:b/>
                <w:bCs/>
                <w:sz w:val="22"/>
                <w:szCs w:val="20"/>
              </w:rPr>
              <w:t xml:space="preserve">Absolutní četnosti </w:t>
            </w:r>
          </w:p>
        </w:tc>
        <w:tc>
          <w:tcPr>
            <w:tcW w:w="1754" w:type="dxa"/>
            <w:tcBorders>
              <w:top w:val="single" w:sz="4" w:space="0" w:color="auto"/>
              <w:left w:val="single" w:sz="4" w:space="0" w:color="auto"/>
              <w:bottom w:val="single" w:sz="4" w:space="0" w:color="auto"/>
              <w:right w:val="single" w:sz="4" w:space="0" w:color="auto"/>
            </w:tcBorders>
            <w:shd w:val="clear" w:color="auto" w:fill="92D050"/>
            <w:vAlign w:val="center"/>
          </w:tcPr>
          <w:p w:rsidR="001C1AB3" w:rsidRPr="00CC2702" w:rsidRDefault="001C1AB3" w:rsidP="007C195E">
            <w:pPr>
              <w:spacing w:before="0"/>
              <w:jc w:val="center"/>
              <w:outlineLvl w:val="6"/>
              <w:rPr>
                <w:rFonts w:cs="Arial"/>
                <w:b/>
                <w:bCs/>
                <w:sz w:val="22"/>
                <w:szCs w:val="20"/>
              </w:rPr>
            </w:pPr>
            <w:r w:rsidRPr="00CC2702">
              <w:rPr>
                <w:rFonts w:cs="Arial"/>
                <w:b/>
                <w:bCs/>
                <w:sz w:val="22"/>
                <w:szCs w:val="20"/>
              </w:rPr>
              <w:t>Relativní četnosti (%)</w:t>
            </w:r>
          </w:p>
        </w:tc>
      </w:tr>
      <w:tr w:rsidR="001C1AB3" w:rsidRPr="005D43D7" w:rsidTr="00ED3A43">
        <w:trPr>
          <w:trHeight w:val="319"/>
        </w:trPr>
        <w:tc>
          <w:tcPr>
            <w:tcW w:w="5599" w:type="dxa"/>
            <w:tcBorders>
              <w:top w:val="single" w:sz="4" w:space="0" w:color="auto"/>
              <w:left w:val="single" w:sz="4" w:space="0" w:color="auto"/>
              <w:bottom w:val="single" w:sz="4" w:space="0" w:color="auto"/>
              <w:right w:val="single" w:sz="4" w:space="0" w:color="auto"/>
            </w:tcBorders>
            <w:shd w:val="clear" w:color="auto" w:fill="ACF6B0"/>
            <w:vAlign w:val="center"/>
          </w:tcPr>
          <w:p w:rsidR="00C326EE" w:rsidRDefault="00C326EE" w:rsidP="00C326EE">
            <w:pPr>
              <w:spacing w:before="0"/>
              <w:jc w:val="center"/>
              <w:rPr>
                <w:rFonts w:eastAsia="Arial Unicode MS" w:cs="Arial"/>
                <w:b/>
                <w:sz w:val="22"/>
              </w:rPr>
            </w:pPr>
            <w:r>
              <w:rPr>
                <w:rFonts w:eastAsia="Arial Unicode MS" w:cs="Arial"/>
                <w:b/>
                <w:sz w:val="22"/>
              </w:rPr>
              <w:t>O</w:t>
            </w:r>
            <w:r w:rsidR="00ED3A43" w:rsidRPr="00ED3A43">
              <w:rPr>
                <w:rFonts w:eastAsia="Arial Unicode MS" w:cs="Arial"/>
                <w:b/>
                <w:sz w:val="22"/>
              </w:rPr>
              <w:t>dlehčovací služba, tísňová péče</w:t>
            </w:r>
            <w:r>
              <w:rPr>
                <w:rFonts w:eastAsia="Arial Unicode MS" w:cs="Arial"/>
                <w:b/>
                <w:sz w:val="22"/>
              </w:rPr>
              <w:t xml:space="preserve"> </w:t>
            </w:r>
          </w:p>
          <w:p w:rsidR="001C1AB3" w:rsidRPr="00C326EE" w:rsidRDefault="00C326EE" w:rsidP="00C326EE">
            <w:pPr>
              <w:spacing w:before="0"/>
              <w:jc w:val="center"/>
              <w:rPr>
                <w:rFonts w:eastAsia="Arial Unicode MS" w:cs="Arial"/>
                <w:sz w:val="22"/>
              </w:rPr>
            </w:pPr>
            <w:r w:rsidRPr="00C326EE">
              <w:rPr>
                <w:rFonts w:eastAsia="Arial Unicode MS" w:cs="Arial"/>
                <w:sz w:val="22"/>
              </w:rPr>
              <w:t>(</w:t>
            </w:r>
            <w:r w:rsidR="00ED3A43" w:rsidRPr="00C326EE">
              <w:rPr>
                <w:rFonts w:eastAsia="Arial Unicode MS" w:cs="Arial"/>
                <w:sz w:val="22"/>
              </w:rPr>
              <w:t>Domovinka, dobrovolníci, apod.)</w:t>
            </w:r>
          </w:p>
        </w:tc>
        <w:tc>
          <w:tcPr>
            <w:tcW w:w="1842" w:type="dxa"/>
            <w:tcBorders>
              <w:top w:val="single" w:sz="4" w:space="0" w:color="auto"/>
              <w:left w:val="single" w:sz="4" w:space="0" w:color="auto"/>
              <w:bottom w:val="single" w:sz="4" w:space="0" w:color="auto"/>
              <w:right w:val="single" w:sz="4" w:space="0" w:color="auto"/>
            </w:tcBorders>
            <w:shd w:val="clear" w:color="auto" w:fill="ACF6B0"/>
            <w:vAlign w:val="center"/>
          </w:tcPr>
          <w:p w:rsidR="001C1AB3" w:rsidRPr="005D43D7" w:rsidRDefault="00ED3A43" w:rsidP="007C195E">
            <w:pPr>
              <w:spacing w:before="0"/>
              <w:jc w:val="center"/>
              <w:rPr>
                <w:rFonts w:eastAsia="Arial Unicode MS" w:cs="Arial"/>
                <w:b/>
                <w:sz w:val="22"/>
              </w:rPr>
            </w:pPr>
            <w:r>
              <w:rPr>
                <w:rFonts w:eastAsia="Arial Unicode MS" w:cs="Arial"/>
                <w:b/>
                <w:sz w:val="22"/>
              </w:rPr>
              <w:t>24</w:t>
            </w:r>
          </w:p>
        </w:tc>
        <w:tc>
          <w:tcPr>
            <w:tcW w:w="1754" w:type="dxa"/>
            <w:tcBorders>
              <w:top w:val="single" w:sz="4" w:space="0" w:color="auto"/>
              <w:left w:val="single" w:sz="4" w:space="0" w:color="auto"/>
              <w:bottom w:val="single" w:sz="4" w:space="0" w:color="auto"/>
              <w:right w:val="single" w:sz="4" w:space="0" w:color="auto"/>
            </w:tcBorders>
            <w:shd w:val="clear" w:color="auto" w:fill="ACF6B0"/>
            <w:vAlign w:val="center"/>
          </w:tcPr>
          <w:p w:rsidR="001C1AB3" w:rsidRPr="005D43D7" w:rsidRDefault="0038703C" w:rsidP="007C195E">
            <w:pPr>
              <w:spacing w:before="0"/>
              <w:jc w:val="center"/>
              <w:rPr>
                <w:rFonts w:eastAsia="Arial Unicode MS" w:cs="Arial"/>
                <w:b/>
                <w:sz w:val="22"/>
              </w:rPr>
            </w:pPr>
            <w:r>
              <w:rPr>
                <w:rFonts w:eastAsia="Arial Unicode MS" w:cs="Arial"/>
                <w:b/>
                <w:sz w:val="22"/>
              </w:rPr>
              <w:t>18,9</w:t>
            </w:r>
          </w:p>
        </w:tc>
      </w:tr>
      <w:tr w:rsidR="001C1AB3" w:rsidRPr="005D43D7" w:rsidTr="00ED3A43">
        <w:trPr>
          <w:trHeight w:val="319"/>
        </w:trPr>
        <w:tc>
          <w:tcPr>
            <w:tcW w:w="5599" w:type="dxa"/>
            <w:tcBorders>
              <w:top w:val="single" w:sz="4" w:space="0" w:color="auto"/>
              <w:left w:val="single" w:sz="4" w:space="0" w:color="auto"/>
              <w:bottom w:val="single" w:sz="4" w:space="0" w:color="auto"/>
              <w:right w:val="single" w:sz="4" w:space="0" w:color="auto"/>
            </w:tcBorders>
            <w:shd w:val="clear" w:color="auto" w:fill="ACF6B0"/>
            <w:vAlign w:val="center"/>
          </w:tcPr>
          <w:p w:rsidR="001C1AB3" w:rsidRPr="005D43D7" w:rsidRDefault="00ED3A43" w:rsidP="007C195E">
            <w:pPr>
              <w:spacing w:before="0"/>
              <w:jc w:val="center"/>
              <w:rPr>
                <w:rFonts w:eastAsia="Arial Unicode MS" w:cs="Arial"/>
                <w:b/>
                <w:sz w:val="22"/>
              </w:rPr>
            </w:pPr>
            <w:r w:rsidRPr="00ED3A43">
              <w:rPr>
                <w:rFonts w:eastAsia="Arial Unicode MS" w:cs="Arial"/>
                <w:b/>
                <w:sz w:val="22"/>
              </w:rPr>
              <w:t>Lepší zdravotní stav</w:t>
            </w:r>
          </w:p>
        </w:tc>
        <w:tc>
          <w:tcPr>
            <w:tcW w:w="1842" w:type="dxa"/>
            <w:tcBorders>
              <w:top w:val="single" w:sz="4" w:space="0" w:color="auto"/>
              <w:left w:val="single" w:sz="4" w:space="0" w:color="auto"/>
              <w:bottom w:val="single" w:sz="4" w:space="0" w:color="auto"/>
              <w:right w:val="single" w:sz="4" w:space="0" w:color="auto"/>
            </w:tcBorders>
            <w:shd w:val="clear" w:color="auto" w:fill="ACF6B0"/>
            <w:vAlign w:val="center"/>
          </w:tcPr>
          <w:p w:rsidR="001C1AB3" w:rsidRPr="005D43D7" w:rsidRDefault="0038703C" w:rsidP="007C195E">
            <w:pPr>
              <w:spacing w:before="0"/>
              <w:jc w:val="center"/>
              <w:rPr>
                <w:rFonts w:eastAsia="Arial Unicode MS" w:cs="Arial"/>
                <w:b/>
                <w:sz w:val="22"/>
              </w:rPr>
            </w:pPr>
            <w:r>
              <w:rPr>
                <w:rFonts w:eastAsia="Arial Unicode MS" w:cs="Arial"/>
                <w:b/>
                <w:sz w:val="22"/>
              </w:rPr>
              <w:t>19</w:t>
            </w:r>
          </w:p>
        </w:tc>
        <w:tc>
          <w:tcPr>
            <w:tcW w:w="1754" w:type="dxa"/>
            <w:tcBorders>
              <w:top w:val="single" w:sz="4" w:space="0" w:color="auto"/>
              <w:left w:val="single" w:sz="4" w:space="0" w:color="auto"/>
              <w:bottom w:val="single" w:sz="4" w:space="0" w:color="auto"/>
              <w:right w:val="single" w:sz="4" w:space="0" w:color="auto"/>
            </w:tcBorders>
            <w:shd w:val="clear" w:color="auto" w:fill="ACF6B0"/>
            <w:vAlign w:val="center"/>
          </w:tcPr>
          <w:p w:rsidR="001C1AB3" w:rsidRPr="005D43D7" w:rsidRDefault="0038703C" w:rsidP="007C195E">
            <w:pPr>
              <w:spacing w:before="0"/>
              <w:jc w:val="center"/>
              <w:rPr>
                <w:rFonts w:eastAsia="Arial Unicode MS" w:cs="Arial"/>
                <w:b/>
                <w:sz w:val="22"/>
              </w:rPr>
            </w:pPr>
            <w:r>
              <w:rPr>
                <w:rFonts w:eastAsia="Arial Unicode MS" w:cs="Arial"/>
                <w:b/>
                <w:sz w:val="22"/>
              </w:rPr>
              <w:t>15,0</w:t>
            </w:r>
          </w:p>
        </w:tc>
      </w:tr>
      <w:tr w:rsidR="001C1AB3" w:rsidRPr="0038703C" w:rsidTr="0038703C">
        <w:trPr>
          <w:trHeight w:val="319"/>
        </w:trPr>
        <w:tc>
          <w:tcPr>
            <w:tcW w:w="5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1AB3" w:rsidRPr="0038703C" w:rsidRDefault="00ED3A43" w:rsidP="007C195E">
            <w:pPr>
              <w:spacing w:before="0"/>
              <w:jc w:val="center"/>
              <w:rPr>
                <w:rFonts w:eastAsia="Arial Unicode MS" w:cs="Arial"/>
                <w:sz w:val="22"/>
              </w:rPr>
            </w:pPr>
            <w:r w:rsidRPr="0038703C">
              <w:rPr>
                <w:rFonts w:eastAsia="Arial Unicode MS" w:cs="Arial"/>
                <w:sz w:val="22"/>
              </w:rPr>
              <w:t>Finance</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1AB3" w:rsidRPr="0038703C" w:rsidRDefault="0038703C" w:rsidP="007C195E">
            <w:pPr>
              <w:spacing w:before="0"/>
              <w:jc w:val="center"/>
              <w:rPr>
                <w:rFonts w:eastAsia="Arial Unicode MS" w:cs="Arial"/>
                <w:sz w:val="22"/>
              </w:rPr>
            </w:pPr>
            <w:r w:rsidRPr="0038703C">
              <w:rPr>
                <w:rFonts w:eastAsia="Arial Unicode MS" w:cs="Arial"/>
                <w:sz w:val="22"/>
              </w:rPr>
              <w:t>15</w:t>
            </w:r>
          </w:p>
        </w:tc>
        <w:tc>
          <w:tcPr>
            <w:tcW w:w="17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1AB3" w:rsidRPr="0038703C" w:rsidRDefault="0038703C" w:rsidP="007C195E">
            <w:pPr>
              <w:spacing w:before="0"/>
              <w:jc w:val="center"/>
              <w:rPr>
                <w:rFonts w:eastAsia="Arial Unicode MS" w:cs="Arial"/>
                <w:sz w:val="22"/>
              </w:rPr>
            </w:pPr>
            <w:r w:rsidRPr="0038703C">
              <w:rPr>
                <w:rFonts w:eastAsia="Arial Unicode MS" w:cs="Arial"/>
                <w:sz w:val="22"/>
              </w:rPr>
              <w:t>11,8</w:t>
            </w:r>
          </w:p>
        </w:tc>
      </w:tr>
      <w:tr w:rsidR="001C1AB3" w:rsidRPr="0038703C" w:rsidTr="0038703C">
        <w:trPr>
          <w:trHeight w:val="319"/>
        </w:trPr>
        <w:tc>
          <w:tcPr>
            <w:tcW w:w="5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1AB3" w:rsidRPr="0038703C" w:rsidRDefault="00ED3A43" w:rsidP="007C195E">
            <w:pPr>
              <w:spacing w:before="0"/>
              <w:jc w:val="center"/>
              <w:rPr>
                <w:rFonts w:eastAsia="Arial Unicode MS" w:cs="Arial"/>
                <w:sz w:val="22"/>
              </w:rPr>
            </w:pPr>
            <w:r w:rsidRPr="0038703C">
              <w:rPr>
                <w:rFonts w:eastAsia="Arial Unicode MS" w:cs="Arial"/>
                <w:sz w:val="22"/>
              </w:rPr>
              <w:t>Kontakt s osta</w:t>
            </w:r>
            <w:r w:rsidR="0038703C" w:rsidRPr="0038703C">
              <w:rPr>
                <w:rFonts w:eastAsia="Arial Unicode MS" w:cs="Arial"/>
                <w:sz w:val="22"/>
              </w:rPr>
              <w:t>tními seniory, nebýt sám/sama</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1AB3" w:rsidRPr="0038703C" w:rsidRDefault="0038703C" w:rsidP="007C195E">
            <w:pPr>
              <w:spacing w:before="0"/>
              <w:jc w:val="center"/>
              <w:rPr>
                <w:rFonts w:eastAsia="Arial Unicode MS" w:cs="Arial"/>
                <w:sz w:val="22"/>
              </w:rPr>
            </w:pPr>
            <w:r w:rsidRPr="0038703C">
              <w:rPr>
                <w:rFonts w:eastAsia="Arial Unicode MS" w:cs="Arial"/>
                <w:sz w:val="22"/>
              </w:rPr>
              <w:t>13</w:t>
            </w:r>
          </w:p>
        </w:tc>
        <w:tc>
          <w:tcPr>
            <w:tcW w:w="17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1AB3" w:rsidRPr="0038703C" w:rsidRDefault="0038703C" w:rsidP="007C195E">
            <w:pPr>
              <w:spacing w:before="0"/>
              <w:jc w:val="center"/>
              <w:rPr>
                <w:rFonts w:eastAsia="Arial Unicode MS" w:cs="Arial"/>
                <w:sz w:val="22"/>
              </w:rPr>
            </w:pPr>
            <w:r w:rsidRPr="0038703C">
              <w:rPr>
                <w:rFonts w:eastAsia="Arial Unicode MS" w:cs="Arial"/>
                <w:sz w:val="22"/>
              </w:rPr>
              <w:t>10,2</w:t>
            </w:r>
          </w:p>
        </w:tc>
      </w:tr>
      <w:tr w:rsidR="001C1AB3" w:rsidRPr="005D43D7" w:rsidTr="00ED3A43">
        <w:trPr>
          <w:trHeight w:val="297"/>
        </w:trPr>
        <w:tc>
          <w:tcPr>
            <w:tcW w:w="5599"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ED3A43" w:rsidP="007C195E">
            <w:pPr>
              <w:spacing w:before="0"/>
              <w:jc w:val="center"/>
              <w:rPr>
                <w:rFonts w:eastAsia="Arial Unicode MS" w:cs="Arial"/>
                <w:sz w:val="22"/>
              </w:rPr>
            </w:pPr>
            <w:r>
              <w:rPr>
                <w:rFonts w:eastAsia="Arial Unicode MS" w:cs="Arial"/>
                <w:sz w:val="22"/>
              </w:rPr>
              <w:t>Výtah</w:t>
            </w:r>
          </w:p>
        </w:tc>
        <w:tc>
          <w:tcPr>
            <w:tcW w:w="1842"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eastAsia="Arial Unicode MS" w:cs="Arial"/>
                <w:sz w:val="22"/>
              </w:rPr>
            </w:pPr>
            <w:r>
              <w:rPr>
                <w:rFonts w:eastAsia="Arial Unicode MS" w:cs="Arial"/>
                <w:sz w:val="22"/>
              </w:rPr>
              <w:t>11</w:t>
            </w:r>
          </w:p>
        </w:tc>
        <w:tc>
          <w:tcPr>
            <w:tcW w:w="1754"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eastAsia="Arial Unicode MS" w:cs="Arial"/>
                <w:sz w:val="22"/>
              </w:rPr>
            </w:pPr>
            <w:r>
              <w:rPr>
                <w:rFonts w:eastAsia="Arial Unicode MS" w:cs="Arial"/>
                <w:sz w:val="22"/>
              </w:rPr>
              <w:t>8,7</w:t>
            </w:r>
          </w:p>
        </w:tc>
      </w:tr>
      <w:tr w:rsidR="001C1AB3" w:rsidRPr="005D43D7" w:rsidTr="00ED3A43">
        <w:trPr>
          <w:trHeight w:val="319"/>
        </w:trPr>
        <w:tc>
          <w:tcPr>
            <w:tcW w:w="5599"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cs="Arial"/>
                <w:sz w:val="22"/>
              </w:rPr>
            </w:pPr>
            <w:r w:rsidRPr="0038703C">
              <w:rPr>
                <w:rFonts w:cs="Arial"/>
                <w:sz w:val="22"/>
              </w:rPr>
              <w:t>Zatím nic, nic mě nenapadá, nevím</w:t>
            </w:r>
          </w:p>
        </w:tc>
        <w:tc>
          <w:tcPr>
            <w:tcW w:w="1842"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eastAsia="Arial Unicode MS" w:cs="Arial"/>
                <w:sz w:val="22"/>
              </w:rPr>
            </w:pPr>
            <w:r>
              <w:rPr>
                <w:rFonts w:eastAsia="Arial Unicode MS" w:cs="Arial"/>
                <w:sz w:val="22"/>
              </w:rPr>
              <w:t>10</w:t>
            </w:r>
          </w:p>
        </w:tc>
        <w:tc>
          <w:tcPr>
            <w:tcW w:w="1754"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eastAsia="Arial Unicode MS" w:cs="Arial"/>
                <w:sz w:val="22"/>
              </w:rPr>
            </w:pPr>
            <w:r>
              <w:rPr>
                <w:rFonts w:eastAsia="Arial Unicode MS" w:cs="Arial"/>
                <w:sz w:val="22"/>
              </w:rPr>
              <w:t>7,9</w:t>
            </w:r>
          </w:p>
        </w:tc>
      </w:tr>
      <w:tr w:rsidR="001C1AB3" w:rsidRPr="005D43D7" w:rsidTr="00ED3A43">
        <w:trPr>
          <w:trHeight w:val="297"/>
        </w:trPr>
        <w:tc>
          <w:tcPr>
            <w:tcW w:w="5599"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cs="Arial"/>
                <w:sz w:val="22"/>
              </w:rPr>
            </w:pPr>
            <w:r w:rsidRPr="0038703C">
              <w:rPr>
                <w:rFonts w:cs="Arial"/>
                <w:sz w:val="22"/>
              </w:rPr>
              <w:t>Lepší spolupráce s lékaři, lepší přístup lékařů</w:t>
            </w:r>
          </w:p>
        </w:tc>
        <w:tc>
          <w:tcPr>
            <w:tcW w:w="1842"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eastAsia="Arial Unicode MS" w:cs="Arial"/>
                <w:sz w:val="22"/>
              </w:rPr>
            </w:pPr>
            <w:r>
              <w:rPr>
                <w:rFonts w:eastAsia="Arial Unicode MS" w:cs="Arial"/>
                <w:sz w:val="22"/>
              </w:rPr>
              <w:t>7</w:t>
            </w:r>
          </w:p>
        </w:tc>
        <w:tc>
          <w:tcPr>
            <w:tcW w:w="1754"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eastAsia="Arial Unicode MS" w:cs="Arial"/>
                <w:sz w:val="22"/>
              </w:rPr>
            </w:pPr>
            <w:r>
              <w:rPr>
                <w:rFonts w:eastAsia="Arial Unicode MS" w:cs="Arial"/>
                <w:sz w:val="22"/>
              </w:rPr>
              <w:t>5,5</w:t>
            </w:r>
          </w:p>
        </w:tc>
      </w:tr>
      <w:tr w:rsidR="001C1AB3" w:rsidRPr="005D43D7" w:rsidTr="00ED3A43">
        <w:trPr>
          <w:trHeight w:val="319"/>
        </w:trPr>
        <w:tc>
          <w:tcPr>
            <w:tcW w:w="5599"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eastAsia="Arial Unicode MS" w:cs="Arial"/>
                <w:sz w:val="22"/>
              </w:rPr>
            </w:pPr>
            <w:r w:rsidRPr="0038703C">
              <w:rPr>
                <w:rFonts w:eastAsia="Arial Unicode MS" w:cs="Arial"/>
                <w:sz w:val="22"/>
              </w:rPr>
              <w:t>Strava (obědy každý den, dietní strava)</w:t>
            </w:r>
          </w:p>
        </w:tc>
        <w:tc>
          <w:tcPr>
            <w:tcW w:w="1842"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eastAsia="Arial Unicode MS" w:cs="Arial"/>
                <w:sz w:val="22"/>
              </w:rPr>
            </w:pPr>
            <w:r>
              <w:rPr>
                <w:rFonts w:eastAsia="Arial Unicode MS" w:cs="Arial"/>
                <w:sz w:val="22"/>
              </w:rPr>
              <w:t>5</w:t>
            </w:r>
          </w:p>
        </w:tc>
        <w:tc>
          <w:tcPr>
            <w:tcW w:w="1754"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eastAsia="Arial Unicode MS" w:cs="Arial"/>
                <w:sz w:val="22"/>
              </w:rPr>
            </w:pPr>
            <w:r>
              <w:rPr>
                <w:rFonts w:eastAsia="Arial Unicode MS" w:cs="Arial"/>
                <w:sz w:val="22"/>
              </w:rPr>
              <w:t>3,9</w:t>
            </w:r>
          </w:p>
        </w:tc>
      </w:tr>
      <w:tr w:rsidR="001C1AB3" w:rsidRPr="005D43D7" w:rsidTr="00ED3A43">
        <w:trPr>
          <w:trHeight w:val="319"/>
        </w:trPr>
        <w:tc>
          <w:tcPr>
            <w:tcW w:w="5599"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ED3A43" w:rsidP="007C195E">
            <w:pPr>
              <w:spacing w:before="0"/>
              <w:jc w:val="center"/>
              <w:rPr>
                <w:rFonts w:cs="Arial"/>
                <w:sz w:val="22"/>
              </w:rPr>
            </w:pPr>
            <w:r>
              <w:rPr>
                <w:rFonts w:cs="Arial"/>
                <w:sz w:val="22"/>
              </w:rPr>
              <w:t>Ostatní</w:t>
            </w:r>
          </w:p>
        </w:tc>
        <w:tc>
          <w:tcPr>
            <w:tcW w:w="1842"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eastAsia="Arial Unicode MS" w:cs="Arial"/>
                <w:sz w:val="22"/>
              </w:rPr>
            </w:pPr>
            <w:r>
              <w:rPr>
                <w:rFonts w:eastAsia="Arial Unicode MS" w:cs="Arial"/>
                <w:sz w:val="22"/>
              </w:rPr>
              <w:t>23</w:t>
            </w:r>
          </w:p>
        </w:tc>
        <w:tc>
          <w:tcPr>
            <w:tcW w:w="1754" w:type="dxa"/>
            <w:tcBorders>
              <w:top w:val="single" w:sz="4" w:space="0" w:color="auto"/>
              <w:left w:val="single" w:sz="4" w:space="0" w:color="auto"/>
              <w:bottom w:val="single" w:sz="4" w:space="0" w:color="auto"/>
              <w:right w:val="single" w:sz="4" w:space="0" w:color="auto"/>
            </w:tcBorders>
            <w:shd w:val="clear" w:color="auto" w:fill="ECECEC"/>
            <w:vAlign w:val="center"/>
          </w:tcPr>
          <w:p w:rsidR="001C1AB3" w:rsidRPr="005D43D7" w:rsidRDefault="0038703C" w:rsidP="007C195E">
            <w:pPr>
              <w:spacing w:before="0"/>
              <w:jc w:val="center"/>
              <w:rPr>
                <w:rFonts w:eastAsia="Arial Unicode MS" w:cs="Arial"/>
                <w:sz w:val="22"/>
              </w:rPr>
            </w:pPr>
            <w:r>
              <w:rPr>
                <w:rFonts w:eastAsia="Arial Unicode MS" w:cs="Arial"/>
                <w:sz w:val="22"/>
              </w:rPr>
              <w:t>18,1</w:t>
            </w:r>
          </w:p>
        </w:tc>
      </w:tr>
      <w:tr w:rsidR="001C1AB3" w:rsidRPr="005D43D7" w:rsidTr="00ED3A43">
        <w:trPr>
          <w:trHeight w:val="340"/>
        </w:trPr>
        <w:tc>
          <w:tcPr>
            <w:tcW w:w="5599" w:type="dxa"/>
            <w:tcBorders>
              <w:top w:val="single" w:sz="4" w:space="0" w:color="auto"/>
              <w:left w:val="single" w:sz="4" w:space="0" w:color="auto"/>
              <w:bottom w:val="single" w:sz="4" w:space="0" w:color="auto"/>
              <w:right w:val="single" w:sz="4" w:space="0" w:color="auto"/>
            </w:tcBorders>
            <w:shd w:val="clear" w:color="auto" w:fill="92D050"/>
            <w:vAlign w:val="center"/>
          </w:tcPr>
          <w:p w:rsidR="001C1AB3" w:rsidRPr="005D43D7" w:rsidRDefault="001C1AB3" w:rsidP="007C195E">
            <w:pPr>
              <w:spacing w:before="0"/>
              <w:jc w:val="center"/>
              <w:rPr>
                <w:rFonts w:cs="Arial"/>
                <w:b/>
                <w:bCs/>
                <w:sz w:val="22"/>
              </w:rPr>
            </w:pPr>
            <w:r w:rsidRPr="005D43D7">
              <w:rPr>
                <w:rFonts w:cs="Arial"/>
                <w:b/>
                <w:bCs/>
                <w:sz w:val="22"/>
              </w:rPr>
              <w:t>Celkem</w:t>
            </w:r>
          </w:p>
        </w:tc>
        <w:tc>
          <w:tcPr>
            <w:tcW w:w="1842" w:type="dxa"/>
            <w:tcBorders>
              <w:top w:val="single" w:sz="4" w:space="0" w:color="auto"/>
              <w:left w:val="single" w:sz="4" w:space="0" w:color="auto"/>
              <w:bottom w:val="single" w:sz="4" w:space="0" w:color="auto"/>
              <w:right w:val="single" w:sz="4" w:space="0" w:color="auto"/>
            </w:tcBorders>
            <w:shd w:val="clear" w:color="auto" w:fill="92D050"/>
            <w:vAlign w:val="center"/>
          </w:tcPr>
          <w:p w:rsidR="001C1AB3" w:rsidRPr="005D43D7" w:rsidRDefault="0038703C" w:rsidP="007C195E">
            <w:pPr>
              <w:spacing w:before="0"/>
              <w:jc w:val="center"/>
              <w:rPr>
                <w:rFonts w:eastAsia="Arial Unicode MS" w:cs="Arial"/>
                <w:b/>
                <w:bCs/>
                <w:sz w:val="22"/>
              </w:rPr>
            </w:pPr>
            <w:r>
              <w:rPr>
                <w:rFonts w:eastAsia="Arial Unicode MS" w:cs="Arial"/>
                <w:b/>
                <w:bCs/>
                <w:sz w:val="22"/>
              </w:rPr>
              <w:t>127</w:t>
            </w:r>
          </w:p>
        </w:tc>
        <w:tc>
          <w:tcPr>
            <w:tcW w:w="1754" w:type="dxa"/>
            <w:tcBorders>
              <w:top w:val="single" w:sz="4" w:space="0" w:color="auto"/>
              <w:left w:val="single" w:sz="4" w:space="0" w:color="auto"/>
              <w:bottom w:val="single" w:sz="4" w:space="0" w:color="auto"/>
              <w:right w:val="single" w:sz="4" w:space="0" w:color="auto"/>
            </w:tcBorders>
            <w:shd w:val="clear" w:color="auto" w:fill="92D050"/>
            <w:vAlign w:val="center"/>
          </w:tcPr>
          <w:p w:rsidR="001C1AB3" w:rsidRPr="005D43D7" w:rsidRDefault="001C1AB3" w:rsidP="007C195E">
            <w:pPr>
              <w:spacing w:before="0"/>
              <w:jc w:val="center"/>
              <w:rPr>
                <w:rFonts w:eastAsia="Arial Unicode MS" w:cs="Arial"/>
                <w:b/>
                <w:bCs/>
                <w:sz w:val="22"/>
              </w:rPr>
            </w:pPr>
            <w:r w:rsidRPr="005D43D7">
              <w:rPr>
                <w:rFonts w:cs="Arial" w:hint="eastAsia"/>
                <w:b/>
                <w:bCs/>
                <w:sz w:val="22"/>
              </w:rPr>
              <w:t>100</w:t>
            </w:r>
            <w:r w:rsidRPr="005D43D7">
              <w:rPr>
                <w:rFonts w:cs="Arial"/>
                <w:b/>
                <w:bCs/>
                <w:sz w:val="22"/>
              </w:rPr>
              <w:t>,0</w:t>
            </w:r>
          </w:p>
        </w:tc>
      </w:tr>
    </w:tbl>
    <w:p w:rsidR="001C1AB3" w:rsidRDefault="001C1AB3" w:rsidP="00C50D06">
      <w:pPr>
        <w:spacing w:before="0"/>
        <w:jc w:val="right"/>
        <w:rPr>
          <w:sz w:val="16"/>
        </w:rPr>
      </w:pPr>
      <w:r>
        <w:rPr>
          <w:sz w:val="16"/>
        </w:rPr>
        <w:t>Tabulka: AUGUR Consulting</w:t>
      </w:r>
    </w:p>
    <w:p w:rsidR="001C1AB3" w:rsidRDefault="001C1AB3" w:rsidP="00C50D06">
      <w:pPr>
        <w:rPr>
          <w:sz w:val="20"/>
        </w:rPr>
      </w:pPr>
      <w:r w:rsidRPr="00222E47">
        <w:rPr>
          <w:b/>
          <w:sz w:val="20"/>
        </w:rPr>
        <w:t xml:space="preserve">Ostatní </w:t>
      </w:r>
      <w:r w:rsidRPr="00222E47">
        <w:rPr>
          <w:sz w:val="20"/>
        </w:rPr>
        <w:t>(tj. odpovědi se stati</w:t>
      </w:r>
      <w:r>
        <w:rPr>
          <w:sz w:val="20"/>
        </w:rPr>
        <w:t>sticky nevýznamnými četnostmi):</w:t>
      </w:r>
      <w:r w:rsidR="0038703C">
        <w:rPr>
          <w:sz w:val="20"/>
        </w:rPr>
        <w:t xml:space="preserve"> větší soběstačnost, dopravní obslužnost apod.</w:t>
      </w:r>
    </w:p>
    <w:p w:rsidR="001C1AB3" w:rsidRDefault="001C1AB3" w:rsidP="00C50D06">
      <w:pPr>
        <w:rPr>
          <w:b/>
          <w:sz w:val="20"/>
        </w:rPr>
      </w:pPr>
    </w:p>
    <w:p w:rsidR="00612141" w:rsidRDefault="00612141" w:rsidP="00C50D06">
      <w:pPr>
        <w:rPr>
          <w:b/>
          <w:sz w:val="20"/>
        </w:rPr>
      </w:pPr>
    </w:p>
    <w:p w:rsidR="002A7AE5" w:rsidRDefault="002A7AE5" w:rsidP="002A7AE5">
      <w:r w:rsidRPr="00C326EE">
        <w:rPr>
          <w:b/>
        </w:rPr>
        <w:t>Podle názoru více třetiny respondentů (35,3 %) chybí ve Velkém Meziříčí denní stacionář,</w:t>
      </w:r>
      <w:r>
        <w:t xml:space="preserve"> který by zajistil péči o seniora v rámci pracovní doby rodinného příslušníka. Dále pak </w:t>
      </w:r>
      <w:r w:rsidR="0083594F">
        <w:t xml:space="preserve">podle více než čtvrtiny dotázaných </w:t>
      </w:r>
      <w:r w:rsidR="0083594F" w:rsidRPr="00C326EE">
        <w:rPr>
          <w:b/>
        </w:rPr>
        <w:t xml:space="preserve">chybí </w:t>
      </w:r>
      <w:r w:rsidRPr="00C326EE">
        <w:rPr>
          <w:b/>
        </w:rPr>
        <w:t>pobytová odlehčovací služba,</w:t>
      </w:r>
      <w:r>
        <w:t xml:space="preserve"> která by pomohla při péči o blízkou osobu na přechodnou dobu s cílem poskytnout pečující osobě odpočinek</w:t>
      </w:r>
      <w:r w:rsidR="0083594F">
        <w:t xml:space="preserve"> (28,7 %), doprava na zavolání či objednání – „Senior taxi“ (27,2 %) a krátkodobá přechodná péče např. v případě úrazu (25,7 %). Více než desetině respondentů (11,8 %) chybí ve Velkém Meziříčí tísňová péče – okamžitá pomoc na zavolání telefonem nebo stisknutím tísňového tlačítka. Výsledky do</w:t>
      </w:r>
      <w:r w:rsidR="00331E25">
        <w:t>kumentuje následující graf č. 22</w:t>
      </w:r>
      <w:r w:rsidR="0083594F">
        <w:t>.</w:t>
      </w:r>
    </w:p>
    <w:p w:rsidR="00331E25" w:rsidRDefault="00331E25" w:rsidP="00C50D06"/>
    <w:p w:rsidR="00331E25" w:rsidRDefault="00331E25" w:rsidP="00331E25">
      <w:pPr>
        <w:pStyle w:val="Titulek"/>
        <w:keepNext/>
      </w:pPr>
      <w:bookmarkStart w:id="96" w:name="_Toc367357524"/>
      <w:r>
        <w:t xml:space="preserve">Graf č. </w:t>
      </w:r>
      <w:r w:rsidR="00EE3646">
        <w:fldChar w:fldCharType="begin"/>
      </w:r>
      <w:r w:rsidR="00EE3646">
        <w:instrText xml:space="preserve"> SEQ Graf_č. \* ARABIC </w:instrText>
      </w:r>
      <w:r w:rsidR="00EE3646">
        <w:fldChar w:fldCharType="separate"/>
      </w:r>
      <w:r w:rsidR="00B16210">
        <w:rPr>
          <w:noProof/>
        </w:rPr>
        <w:t>22</w:t>
      </w:r>
      <w:r w:rsidR="00EE3646">
        <w:rPr>
          <w:noProof/>
        </w:rPr>
        <w:fldChar w:fldCharType="end"/>
      </w:r>
      <w:r>
        <w:t xml:space="preserve">: </w:t>
      </w:r>
      <w:r>
        <w:rPr>
          <w:b w:val="0"/>
        </w:rPr>
        <w:t>Chybějící služby a pomoc pro seniory a jejich rodiny ve Velkém Meziříčí.</w:t>
      </w:r>
      <w:bookmarkEnd w:id="96"/>
    </w:p>
    <w:p w:rsidR="002F3DC3" w:rsidRDefault="0072544D" w:rsidP="00C50D06">
      <w:pPr>
        <w:rPr>
          <w:b/>
          <w:sz w:val="20"/>
        </w:rPr>
      </w:pPr>
      <w:r w:rsidRPr="00640D8E">
        <w:rPr>
          <w:noProof/>
          <w:lang w:eastAsia="cs-CZ"/>
        </w:rPr>
        <mc:AlternateContent>
          <mc:Choice Requires="wps">
            <w:drawing>
              <wp:anchor distT="0" distB="0" distL="114300" distR="114300" simplePos="0" relativeHeight="251736064" behindDoc="0" locked="0" layoutInCell="1" allowOverlap="1" wp14:anchorId="1A052DF0" wp14:editId="53C01F03">
                <wp:simplePos x="0" y="0"/>
                <wp:positionH relativeFrom="column">
                  <wp:posOffset>68580</wp:posOffset>
                </wp:positionH>
                <wp:positionV relativeFrom="paragraph">
                  <wp:posOffset>3941445</wp:posOffset>
                </wp:positionV>
                <wp:extent cx="5592445" cy="368935"/>
                <wp:effectExtent l="0" t="0" r="0" b="0"/>
                <wp:wrapNone/>
                <wp:docPr id="21"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72544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95,8 %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33" type="#_x0000_t202" style="position:absolute;left:0;text-align:left;margin-left:5.4pt;margin-top:310.35pt;width:440.35pt;height:29.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" filled="f" stroked="f">
                <v:textbox style="mso-fit-shape-to-text:t">
                  <w:txbxContent>
                    <w:p w:rsidR="00D822DB" w:rsidRDefault="00D822DB" w:rsidP="0072544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142, odpovědělo 95,8 %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612141" w:rsidRPr="00792D89">
        <w:rPr>
          <w:noProof/>
          <w:color w:val="FF0000"/>
          <w:lang w:eastAsia="cs-CZ"/>
        </w:rPr>
        <w:drawing>
          <wp:inline distT="0" distB="0" distL="0" distR="0" wp14:anchorId="0C72933B" wp14:editId="2286E972">
            <wp:extent cx="5730949" cy="4125432"/>
            <wp:effectExtent l="0" t="0" r="22225" b="27940"/>
            <wp:docPr id="14"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F3DC3" w:rsidRDefault="002F3DC3" w:rsidP="00C50D06">
      <w:pPr>
        <w:spacing w:before="0" w:after="200" w:line="276" w:lineRule="auto"/>
        <w:jc w:val="left"/>
        <w:rPr>
          <w:b/>
          <w:sz w:val="20"/>
        </w:rPr>
      </w:pPr>
      <w:r>
        <w:rPr>
          <w:b/>
          <w:sz w:val="20"/>
        </w:rPr>
        <w:br w:type="page"/>
      </w:r>
    </w:p>
    <w:p w:rsidR="002F3DC3" w:rsidRDefault="00F83AAB" w:rsidP="003D0F8B">
      <w:pPr>
        <w:pStyle w:val="Nadpis2"/>
      </w:pPr>
      <w:bookmarkStart w:id="97" w:name="_Toc367278174"/>
      <w:r>
        <w:t>VYHODNOCENÍ DOTAZNÍKU PRO OS</w:t>
      </w:r>
      <w:r w:rsidR="00A03E6F">
        <w:t>OBY SE ZDRAVOTNÍM POSTIŽENÍM</w:t>
      </w:r>
      <w:bookmarkEnd w:id="97"/>
    </w:p>
    <w:p w:rsidR="002E384C" w:rsidRDefault="002E384C" w:rsidP="00C50D06"/>
    <w:p w:rsidR="00A03E6F" w:rsidRDefault="00331E25" w:rsidP="00C50D06">
      <w:r>
        <w:t>Následující tabulka č. 3</w:t>
      </w:r>
      <w:r w:rsidR="00594151">
        <w:t>2</w:t>
      </w:r>
      <w:r w:rsidR="002E384C">
        <w:t xml:space="preserve"> dokumentuje strukturu výběrového sou</w:t>
      </w:r>
      <w:r>
        <w:t xml:space="preserve">boru respondentů podle sociálně </w:t>
      </w:r>
      <w:r w:rsidR="002E384C">
        <w:t>demografických charakteristik.</w:t>
      </w:r>
    </w:p>
    <w:p w:rsidR="002E384C" w:rsidRDefault="002E384C" w:rsidP="00C50D06"/>
    <w:p w:rsidR="00331E25" w:rsidRDefault="00331E25" w:rsidP="00331E25">
      <w:pPr>
        <w:pStyle w:val="Titulek"/>
        <w:keepNext/>
      </w:pPr>
      <w:bookmarkStart w:id="98" w:name="_Toc367794876"/>
      <w:r>
        <w:t xml:space="preserve">Tabulka č. </w:t>
      </w:r>
      <w:r w:rsidR="00EE3646">
        <w:fldChar w:fldCharType="begin"/>
      </w:r>
      <w:r w:rsidR="00EE3646">
        <w:instrText xml:space="preserve"> SEQ Tabulka_č. \* ARABIC </w:instrText>
      </w:r>
      <w:r w:rsidR="00EE3646">
        <w:fldChar w:fldCharType="separate"/>
      </w:r>
      <w:r w:rsidR="00594151">
        <w:rPr>
          <w:noProof/>
        </w:rPr>
        <w:t>32</w:t>
      </w:r>
      <w:r w:rsidR="00EE3646">
        <w:rPr>
          <w:noProof/>
        </w:rPr>
        <w:fldChar w:fldCharType="end"/>
      </w:r>
      <w:r>
        <w:t xml:space="preserve">: </w:t>
      </w:r>
      <w:r>
        <w:rPr>
          <w:b w:val="0"/>
        </w:rPr>
        <w:t>Základní charakteristiky respondentů.</w:t>
      </w:r>
      <w:bookmarkEnd w:id="98"/>
      <w:r>
        <w:rPr>
          <w:b w:val="0"/>
        </w:rPr>
        <w:t xml:space="preserve"> </w:t>
      </w:r>
    </w:p>
    <w:tbl>
      <w:tblPr>
        <w:tblStyle w:val="Mkatabulky"/>
        <w:tblW w:w="0" w:type="auto"/>
        <w:tblLook w:val="04A0" w:firstRow="1" w:lastRow="0" w:firstColumn="1" w:lastColumn="0" w:noHBand="0" w:noVBand="1"/>
      </w:tblPr>
      <w:tblGrid>
        <w:gridCol w:w="1297"/>
        <w:gridCol w:w="3940"/>
        <w:gridCol w:w="2113"/>
        <w:gridCol w:w="1938"/>
      </w:tblGrid>
      <w:tr w:rsidR="002F3DC3" w:rsidRPr="00014645" w:rsidTr="00C50D06">
        <w:trPr>
          <w:trHeight w:val="377"/>
        </w:trPr>
        <w:tc>
          <w:tcPr>
            <w:tcW w:w="1297" w:type="dxa"/>
            <w:vMerge w:val="restart"/>
            <w:tcBorders>
              <w:top w:val="double" w:sz="4" w:space="0" w:color="auto"/>
              <w:left w:val="double" w:sz="4" w:space="0" w:color="auto"/>
            </w:tcBorders>
            <w:shd w:val="clear" w:color="auto" w:fill="F9AD6F"/>
            <w:vAlign w:val="center"/>
          </w:tcPr>
          <w:p w:rsidR="002F3DC3" w:rsidRDefault="002F3DC3" w:rsidP="007C195E">
            <w:pPr>
              <w:spacing w:before="0"/>
              <w:jc w:val="center"/>
              <w:rPr>
                <w:rFonts w:cs="Arial"/>
                <w:b/>
                <w:szCs w:val="24"/>
              </w:rPr>
            </w:pPr>
            <w:r>
              <w:rPr>
                <w:rFonts w:cs="Arial"/>
                <w:b/>
                <w:szCs w:val="24"/>
              </w:rPr>
              <w:t>Ukazatel</w:t>
            </w:r>
          </w:p>
        </w:tc>
        <w:tc>
          <w:tcPr>
            <w:tcW w:w="3940" w:type="dxa"/>
            <w:vMerge w:val="restart"/>
            <w:tcBorders>
              <w:top w:val="double" w:sz="4" w:space="0" w:color="auto"/>
              <w:left w:val="double" w:sz="4" w:space="0" w:color="auto"/>
              <w:right w:val="double" w:sz="4" w:space="0" w:color="auto"/>
            </w:tcBorders>
            <w:shd w:val="clear" w:color="auto" w:fill="F9AD6F"/>
            <w:vAlign w:val="center"/>
          </w:tcPr>
          <w:p w:rsidR="002F3DC3" w:rsidRPr="00FA680B" w:rsidRDefault="002F3DC3" w:rsidP="007C195E">
            <w:pPr>
              <w:spacing w:before="0"/>
              <w:jc w:val="center"/>
              <w:rPr>
                <w:rFonts w:cs="Arial"/>
                <w:b/>
                <w:szCs w:val="24"/>
              </w:rPr>
            </w:pPr>
            <w:r>
              <w:rPr>
                <w:rFonts w:cs="Arial"/>
                <w:b/>
                <w:szCs w:val="24"/>
              </w:rPr>
              <w:t>Charakteristika</w:t>
            </w:r>
          </w:p>
        </w:tc>
        <w:tc>
          <w:tcPr>
            <w:tcW w:w="4051" w:type="dxa"/>
            <w:gridSpan w:val="2"/>
            <w:tcBorders>
              <w:top w:val="double" w:sz="4" w:space="0" w:color="auto"/>
              <w:left w:val="double" w:sz="4" w:space="0" w:color="auto"/>
              <w:bottom w:val="single" w:sz="4" w:space="0" w:color="auto"/>
              <w:right w:val="double" w:sz="4" w:space="0" w:color="auto"/>
            </w:tcBorders>
            <w:shd w:val="clear" w:color="auto" w:fill="F9AD6F"/>
            <w:vAlign w:val="center"/>
          </w:tcPr>
          <w:p w:rsidR="002F3DC3" w:rsidRPr="00ED5457" w:rsidRDefault="002F3DC3" w:rsidP="007C195E">
            <w:pPr>
              <w:spacing w:before="0"/>
              <w:jc w:val="center"/>
              <w:rPr>
                <w:rFonts w:cs="Arial"/>
                <w:b/>
                <w:szCs w:val="24"/>
              </w:rPr>
            </w:pPr>
            <w:r w:rsidRPr="00ED5457">
              <w:rPr>
                <w:rFonts w:cs="Arial"/>
                <w:b/>
                <w:szCs w:val="24"/>
              </w:rPr>
              <w:t>Počet respondentů</w:t>
            </w:r>
          </w:p>
        </w:tc>
      </w:tr>
      <w:tr w:rsidR="002F3DC3" w:rsidRPr="00014645" w:rsidTr="00C50D06">
        <w:trPr>
          <w:trHeight w:val="376"/>
        </w:trPr>
        <w:tc>
          <w:tcPr>
            <w:tcW w:w="1297" w:type="dxa"/>
            <w:vMerge/>
            <w:tcBorders>
              <w:left w:val="double" w:sz="4" w:space="0" w:color="auto"/>
              <w:bottom w:val="double" w:sz="4" w:space="0" w:color="auto"/>
            </w:tcBorders>
            <w:shd w:val="clear" w:color="auto" w:fill="EB7D05"/>
            <w:vAlign w:val="center"/>
          </w:tcPr>
          <w:p w:rsidR="002F3DC3" w:rsidRDefault="002F3DC3" w:rsidP="007C195E">
            <w:pPr>
              <w:spacing w:before="0"/>
              <w:jc w:val="center"/>
              <w:rPr>
                <w:rFonts w:cs="Arial"/>
                <w:b/>
                <w:szCs w:val="24"/>
              </w:rPr>
            </w:pPr>
          </w:p>
        </w:tc>
        <w:tc>
          <w:tcPr>
            <w:tcW w:w="3940" w:type="dxa"/>
            <w:vMerge/>
            <w:tcBorders>
              <w:left w:val="double" w:sz="4" w:space="0" w:color="auto"/>
              <w:bottom w:val="double" w:sz="4" w:space="0" w:color="auto"/>
              <w:right w:val="double" w:sz="4" w:space="0" w:color="auto"/>
            </w:tcBorders>
            <w:shd w:val="clear" w:color="auto" w:fill="EB7D05"/>
            <w:vAlign w:val="center"/>
          </w:tcPr>
          <w:p w:rsidR="002F3DC3" w:rsidRDefault="002F3DC3" w:rsidP="007C195E">
            <w:pPr>
              <w:spacing w:before="0"/>
              <w:jc w:val="center"/>
              <w:rPr>
                <w:rFonts w:cs="Arial"/>
                <w:b/>
                <w:szCs w:val="24"/>
              </w:rPr>
            </w:pPr>
          </w:p>
        </w:tc>
        <w:tc>
          <w:tcPr>
            <w:tcW w:w="2113" w:type="dxa"/>
            <w:tcBorders>
              <w:top w:val="single" w:sz="4" w:space="0" w:color="auto"/>
              <w:left w:val="double" w:sz="4" w:space="0" w:color="auto"/>
              <w:bottom w:val="double" w:sz="4" w:space="0" w:color="auto"/>
            </w:tcBorders>
            <w:shd w:val="clear" w:color="auto" w:fill="F9AD6F"/>
            <w:vAlign w:val="center"/>
          </w:tcPr>
          <w:p w:rsidR="002F3DC3" w:rsidRPr="00014645" w:rsidRDefault="002F3DC3" w:rsidP="007C195E">
            <w:pPr>
              <w:spacing w:before="0"/>
              <w:jc w:val="center"/>
              <w:rPr>
                <w:rFonts w:cs="Arial"/>
                <w:szCs w:val="24"/>
              </w:rPr>
            </w:pPr>
            <w:r>
              <w:rPr>
                <w:rFonts w:cs="Arial"/>
                <w:szCs w:val="24"/>
              </w:rPr>
              <w:t>Absolutní</w:t>
            </w:r>
          </w:p>
        </w:tc>
        <w:tc>
          <w:tcPr>
            <w:tcW w:w="1938" w:type="dxa"/>
            <w:tcBorders>
              <w:top w:val="single" w:sz="4" w:space="0" w:color="auto"/>
              <w:bottom w:val="double" w:sz="4" w:space="0" w:color="auto"/>
              <w:right w:val="double" w:sz="4" w:space="0" w:color="auto"/>
            </w:tcBorders>
            <w:shd w:val="clear" w:color="auto" w:fill="F9AD6F"/>
            <w:vAlign w:val="center"/>
          </w:tcPr>
          <w:p w:rsidR="002F3DC3" w:rsidRPr="00014645" w:rsidRDefault="002F3DC3" w:rsidP="007C195E">
            <w:pPr>
              <w:spacing w:before="0"/>
              <w:jc w:val="center"/>
              <w:rPr>
                <w:rFonts w:cs="Arial"/>
                <w:szCs w:val="24"/>
              </w:rPr>
            </w:pPr>
            <w:r>
              <w:rPr>
                <w:rFonts w:cs="Arial"/>
                <w:szCs w:val="24"/>
              </w:rPr>
              <w:t>Relativní (v %)</w:t>
            </w:r>
          </w:p>
        </w:tc>
      </w:tr>
      <w:tr w:rsidR="002F3DC3" w:rsidRPr="00014645" w:rsidTr="00C50D06">
        <w:trPr>
          <w:trHeight w:val="214"/>
        </w:trPr>
        <w:tc>
          <w:tcPr>
            <w:tcW w:w="9288" w:type="dxa"/>
            <w:gridSpan w:val="4"/>
            <w:tcBorders>
              <w:top w:val="double" w:sz="4" w:space="0" w:color="auto"/>
              <w:left w:val="double" w:sz="4" w:space="0" w:color="auto"/>
              <w:right w:val="double" w:sz="4" w:space="0" w:color="auto"/>
            </w:tcBorders>
            <w:shd w:val="clear" w:color="auto" w:fill="auto"/>
            <w:textDirection w:val="btLr"/>
            <w:vAlign w:val="center"/>
          </w:tcPr>
          <w:p w:rsidR="002F3DC3" w:rsidRPr="00C62D01" w:rsidRDefault="002F3DC3" w:rsidP="007C195E">
            <w:pPr>
              <w:spacing w:before="0"/>
              <w:jc w:val="left"/>
              <w:rPr>
                <w:rFonts w:cs="Arial"/>
                <w:szCs w:val="24"/>
              </w:rPr>
            </w:pPr>
          </w:p>
        </w:tc>
      </w:tr>
      <w:tr w:rsidR="002F3DC3" w:rsidRPr="00014645" w:rsidTr="00C50D06">
        <w:trPr>
          <w:trHeight w:val="274"/>
        </w:trPr>
        <w:tc>
          <w:tcPr>
            <w:tcW w:w="1297" w:type="dxa"/>
            <w:vMerge w:val="restart"/>
            <w:tcBorders>
              <w:top w:val="double" w:sz="4" w:space="0" w:color="auto"/>
              <w:left w:val="double" w:sz="4" w:space="0" w:color="auto"/>
              <w:right w:val="double" w:sz="6" w:space="0" w:color="auto"/>
            </w:tcBorders>
            <w:shd w:val="clear" w:color="auto" w:fill="F9AD6F"/>
            <w:vAlign w:val="center"/>
          </w:tcPr>
          <w:p w:rsidR="002F3DC3" w:rsidRPr="00ED5457" w:rsidRDefault="002F3DC3" w:rsidP="007C195E">
            <w:pPr>
              <w:spacing w:before="0"/>
              <w:jc w:val="center"/>
              <w:rPr>
                <w:rFonts w:cs="Arial"/>
                <w:sz w:val="22"/>
                <w:szCs w:val="24"/>
              </w:rPr>
            </w:pPr>
            <w:r w:rsidRPr="00ED5457">
              <w:rPr>
                <w:rFonts w:cs="Arial"/>
                <w:b/>
                <w:sz w:val="22"/>
                <w:szCs w:val="24"/>
              </w:rPr>
              <w:t>Pohlaví</w:t>
            </w:r>
          </w:p>
        </w:tc>
        <w:tc>
          <w:tcPr>
            <w:tcW w:w="3940" w:type="dxa"/>
            <w:tcBorders>
              <w:top w:val="double" w:sz="4" w:space="0" w:color="auto"/>
              <w:left w:val="double" w:sz="6" w:space="0" w:color="auto"/>
            </w:tcBorders>
            <w:shd w:val="clear" w:color="auto" w:fill="FDE9D9" w:themeFill="accent6" w:themeFillTint="33"/>
            <w:vAlign w:val="center"/>
          </w:tcPr>
          <w:p w:rsidR="002F3DC3" w:rsidRPr="00ED5457" w:rsidRDefault="002F3DC3" w:rsidP="007C195E">
            <w:pPr>
              <w:spacing w:before="0"/>
              <w:jc w:val="left"/>
              <w:rPr>
                <w:rFonts w:cs="Arial"/>
                <w:sz w:val="22"/>
                <w:szCs w:val="24"/>
              </w:rPr>
            </w:pPr>
            <w:r>
              <w:rPr>
                <w:rFonts w:cs="Arial"/>
                <w:sz w:val="22"/>
                <w:szCs w:val="24"/>
              </w:rPr>
              <w:t>Muži</w:t>
            </w:r>
          </w:p>
        </w:tc>
        <w:tc>
          <w:tcPr>
            <w:tcW w:w="2113" w:type="dxa"/>
            <w:tcBorders>
              <w:top w:val="double" w:sz="4" w:space="0" w:color="auto"/>
            </w:tcBorders>
            <w:shd w:val="clear" w:color="auto" w:fill="FFFF99"/>
            <w:vAlign w:val="center"/>
          </w:tcPr>
          <w:p w:rsidR="002F3DC3" w:rsidRDefault="004D7167" w:rsidP="007C195E">
            <w:pPr>
              <w:spacing w:before="0"/>
              <w:jc w:val="center"/>
              <w:rPr>
                <w:rFonts w:cs="Arial"/>
                <w:szCs w:val="24"/>
              </w:rPr>
            </w:pPr>
            <w:r>
              <w:rPr>
                <w:rFonts w:cs="Arial"/>
                <w:szCs w:val="24"/>
              </w:rPr>
              <w:t>65</w:t>
            </w:r>
          </w:p>
        </w:tc>
        <w:tc>
          <w:tcPr>
            <w:tcW w:w="1938" w:type="dxa"/>
            <w:tcBorders>
              <w:top w:val="double" w:sz="4" w:space="0" w:color="auto"/>
              <w:right w:val="double" w:sz="4" w:space="0" w:color="auto"/>
            </w:tcBorders>
            <w:shd w:val="clear" w:color="auto" w:fill="FFFF99"/>
            <w:vAlign w:val="center"/>
          </w:tcPr>
          <w:p w:rsidR="002F3DC3" w:rsidRPr="00014645" w:rsidRDefault="004D7167" w:rsidP="007C195E">
            <w:pPr>
              <w:spacing w:before="0"/>
              <w:jc w:val="center"/>
              <w:rPr>
                <w:rFonts w:cs="Arial"/>
                <w:szCs w:val="24"/>
              </w:rPr>
            </w:pPr>
            <w:r>
              <w:rPr>
                <w:rFonts w:cs="Arial"/>
                <w:szCs w:val="24"/>
              </w:rPr>
              <w:t>44,5</w:t>
            </w:r>
          </w:p>
        </w:tc>
      </w:tr>
      <w:tr w:rsidR="002F3DC3" w:rsidRPr="00014645" w:rsidTr="00C50D06">
        <w:trPr>
          <w:trHeight w:val="286"/>
        </w:trPr>
        <w:tc>
          <w:tcPr>
            <w:tcW w:w="1297" w:type="dxa"/>
            <w:vMerge/>
            <w:tcBorders>
              <w:left w:val="double" w:sz="4" w:space="0" w:color="auto"/>
              <w:bottom w:val="double" w:sz="4" w:space="0" w:color="auto"/>
              <w:right w:val="double" w:sz="6" w:space="0" w:color="auto"/>
            </w:tcBorders>
            <w:shd w:val="clear" w:color="auto" w:fill="F9AD6F"/>
            <w:vAlign w:val="center"/>
          </w:tcPr>
          <w:p w:rsidR="002F3DC3" w:rsidRPr="00ED5457" w:rsidRDefault="002F3DC3" w:rsidP="007C195E">
            <w:pPr>
              <w:spacing w:before="0"/>
              <w:jc w:val="center"/>
              <w:rPr>
                <w:rFonts w:cs="Arial"/>
                <w:sz w:val="22"/>
                <w:szCs w:val="24"/>
              </w:rPr>
            </w:pPr>
          </w:p>
        </w:tc>
        <w:tc>
          <w:tcPr>
            <w:tcW w:w="3940" w:type="dxa"/>
            <w:tcBorders>
              <w:left w:val="double" w:sz="6" w:space="0" w:color="auto"/>
              <w:bottom w:val="double" w:sz="4" w:space="0" w:color="auto"/>
            </w:tcBorders>
            <w:shd w:val="clear" w:color="auto" w:fill="FDE9D9" w:themeFill="accent6" w:themeFillTint="33"/>
            <w:vAlign w:val="center"/>
          </w:tcPr>
          <w:p w:rsidR="002F3DC3" w:rsidRPr="00ED5457" w:rsidRDefault="002F3DC3" w:rsidP="007C195E">
            <w:pPr>
              <w:spacing w:before="0"/>
              <w:jc w:val="left"/>
              <w:rPr>
                <w:rFonts w:cs="Arial"/>
                <w:sz w:val="22"/>
                <w:szCs w:val="24"/>
              </w:rPr>
            </w:pPr>
            <w:r w:rsidRPr="00ED5457">
              <w:rPr>
                <w:rFonts w:cs="Arial"/>
                <w:sz w:val="22"/>
                <w:szCs w:val="24"/>
              </w:rPr>
              <w:t>Ženy</w:t>
            </w:r>
          </w:p>
        </w:tc>
        <w:tc>
          <w:tcPr>
            <w:tcW w:w="2113" w:type="dxa"/>
            <w:tcBorders>
              <w:bottom w:val="double" w:sz="4" w:space="0" w:color="auto"/>
            </w:tcBorders>
            <w:shd w:val="clear" w:color="auto" w:fill="FFFF99"/>
            <w:vAlign w:val="center"/>
          </w:tcPr>
          <w:p w:rsidR="002F3DC3" w:rsidRDefault="004D7167" w:rsidP="007C195E">
            <w:pPr>
              <w:spacing w:before="0"/>
              <w:jc w:val="center"/>
              <w:rPr>
                <w:rFonts w:cs="Arial"/>
                <w:szCs w:val="24"/>
              </w:rPr>
            </w:pPr>
            <w:r>
              <w:rPr>
                <w:rFonts w:cs="Arial"/>
                <w:szCs w:val="24"/>
              </w:rPr>
              <w:t>81</w:t>
            </w:r>
          </w:p>
        </w:tc>
        <w:tc>
          <w:tcPr>
            <w:tcW w:w="1938" w:type="dxa"/>
            <w:tcBorders>
              <w:bottom w:val="double" w:sz="4" w:space="0" w:color="auto"/>
              <w:right w:val="double" w:sz="4" w:space="0" w:color="auto"/>
            </w:tcBorders>
            <w:shd w:val="clear" w:color="auto" w:fill="FFFF99"/>
            <w:vAlign w:val="center"/>
          </w:tcPr>
          <w:p w:rsidR="002F3DC3" w:rsidRPr="00014645" w:rsidRDefault="004D7167" w:rsidP="007C195E">
            <w:pPr>
              <w:spacing w:before="0"/>
              <w:jc w:val="center"/>
              <w:rPr>
                <w:rFonts w:cs="Arial"/>
                <w:szCs w:val="24"/>
              </w:rPr>
            </w:pPr>
            <w:r>
              <w:rPr>
                <w:rFonts w:cs="Arial"/>
                <w:szCs w:val="24"/>
              </w:rPr>
              <w:t>55,5</w:t>
            </w:r>
          </w:p>
        </w:tc>
      </w:tr>
      <w:tr w:rsidR="002F3DC3" w:rsidRPr="00014645" w:rsidTr="00C50D06">
        <w:tc>
          <w:tcPr>
            <w:tcW w:w="1297" w:type="dxa"/>
            <w:vMerge w:val="restart"/>
            <w:tcBorders>
              <w:top w:val="double" w:sz="4" w:space="0" w:color="auto"/>
              <w:left w:val="double" w:sz="4" w:space="0" w:color="auto"/>
              <w:right w:val="double" w:sz="6" w:space="0" w:color="auto"/>
            </w:tcBorders>
            <w:shd w:val="clear" w:color="auto" w:fill="F9AD6F"/>
            <w:textDirection w:val="btLr"/>
            <w:vAlign w:val="center"/>
          </w:tcPr>
          <w:p w:rsidR="002F3DC3" w:rsidRPr="00014645" w:rsidRDefault="002F3DC3" w:rsidP="007C195E">
            <w:pPr>
              <w:spacing w:before="0"/>
              <w:ind w:left="113" w:right="113"/>
              <w:jc w:val="center"/>
              <w:rPr>
                <w:rFonts w:cs="Arial"/>
                <w:szCs w:val="24"/>
              </w:rPr>
            </w:pPr>
            <w:r w:rsidRPr="00ED5457">
              <w:rPr>
                <w:rFonts w:cs="Arial"/>
                <w:b/>
                <w:szCs w:val="24"/>
              </w:rPr>
              <w:t>Věk</w:t>
            </w:r>
          </w:p>
        </w:tc>
        <w:tc>
          <w:tcPr>
            <w:tcW w:w="3940" w:type="dxa"/>
            <w:tcBorders>
              <w:top w:val="double" w:sz="4" w:space="0" w:color="auto"/>
              <w:left w:val="double" w:sz="6" w:space="0" w:color="auto"/>
              <w:bottom w:val="single" w:sz="4" w:space="0" w:color="auto"/>
            </w:tcBorders>
            <w:shd w:val="clear" w:color="auto" w:fill="FDE9D9" w:themeFill="accent6" w:themeFillTint="33"/>
            <w:vAlign w:val="center"/>
          </w:tcPr>
          <w:p w:rsidR="002F3DC3" w:rsidRPr="00014645" w:rsidRDefault="002F3DC3" w:rsidP="007C195E">
            <w:pPr>
              <w:spacing w:before="0"/>
              <w:jc w:val="left"/>
              <w:rPr>
                <w:rFonts w:cs="Arial"/>
                <w:szCs w:val="24"/>
              </w:rPr>
            </w:pPr>
            <w:r>
              <w:rPr>
                <w:rFonts w:cs="Arial"/>
                <w:szCs w:val="24"/>
              </w:rPr>
              <w:t>Méně než 18 let</w:t>
            </w:r>
          </w:p>
        </w:tc>
        <w:tc>
          <w:tcPr>
            <w:tcW w:w="2113" w:type="dxa"/>
            <w:tcBorders>
              <w:top w:val="double" w:sz="4" w:space="0" w:color="auto"/>
              <w:bottom w:val="single" w:sz="4" w:space="0" w:color="auto"/>
            </w:tcBorders>
            <w:shd w:val="clear" w:color="auto" w:fill="FFFF99"/>
            <w:vAlign w:val="center"/>
          </w:tcPr>
          <w:p w:rsidR="002F3DC3" w:rsidRDefault="004D7167" w:rsidP="007C195E">
            <w:pPr>
              <w:spacing w:before="0"/>
              <w:jc w:val="center"/>
              <w:rPr>
                <w:rFonts w:cs="Arial"/>
                <w:szCs w:val="24"/>
              </w:rPr>
            </w:pPr>
            <w:r>
              <w:rPr>
                <w:rFonts w:cs="Arial"/>
                <w:szCs w:val="24"/>
              </w:rPr>
              <w:t>0</w:t>
            </w:r>
          </w:p>
        </w:tc>
        <w:tc>
          <w:tcPr>
            <w:tcW w:w="1938" w:type="dxa"/>
            <w:tcBorders>
              <w:top w:val="double" w:sz="4" w:space="0" w:color="auto"/>
              <w:bottom w:val="single" w:sz="4" w:space="0" w:color="auto"/>
              <w:right w:val="double" w:sz="4" w:space="0" w:color="auto"/>
            </w:tcBorders>
            <w:shd w:val="clear" w:color="auto" w:fill="FFFF99"/>
            <w:vAlign w:val="center"/>
          </w:tcPr>
          <w:p w:rsidR="002F3DC3" w:rsidRPr="00014645" w:rsidRDefault="004D7167" w:rsidP="007C195E">
            <w:pPr>
              <w:spacing w:before="0"/>
              <w:jc w:val="center"/>
              <w:rPr>
                <w:rFonts w:cs="Arial"/>
                <w:szCs w:val="24"/>
              </w:rPr>
            </w:pPr>
            <w:r>
              <w:rPr>
                <w:rFonts w:cs="Arial"/>
                <w:szCs w:val="24"/>
              </w:rPr>
              <w:t>0,0</w:t>
            </w:r>
          </w:p>
        </w:tc>
      </w:tr>
      <w:tr w:rsidR="004D7167" w:rsidRPr="00014645" w:rsidTr="00C50D06">
        <w:tc>
          <w:tcPr>
            <w:tcW w:w="1297" w:type="dxa"/>
            <w:vMerge/>
            <w:tcBorders>
              <w:left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4D7167" w:rsidRDefault="004D7167" w:rsidP="002F3DC3">
            <w:pPr>
              <w:spacing w:before="0"/>
              <w:jc w:val="left"/>
              <w:rPr>
                <w:rFonts w:cs="Arial"/>
                <w:szCs w:val="24"/>
              </w:rPr>
            </w:pPr>
            <w:r>
              <w:rPr>
                <w:rFonts w:cs="Arial"/>
                <w:szCs w:val="24"/>
              </w:rPr>
              <w:t>18-25 let</w:t>
            </w:r>
          </w:p>
        </w:tc>
        <w:tc>
          <w:tcPr>
            <w:tcW w:w="2113" w:type="dxa"/>
            <w:tcBorders>
              <w:top w:val="single" w:sz="4" w:space="0" w:color="auto"/>
              <w:bottom w:val="single" w:sz="4" w:space="0" w:color="auto"/>
            </w:tcBorders>
            <w:shd w:val="clear" w:color="auto" w:fill="FFFF99"/>
            <w:vAlign w:val="center"/>
          </w:tcPr>
          <w:p w:rsidR="004D7167" w:rsidRDefault="004D7167" w:rsidP="004D7167">
            <w:pPr>
              <w:spacing w:before="0"/>
              <w:jc w:val="center"/>
              <w:rPr>
                <w:rFonts w:cs="Arial"/>
                <w:szCs w:val="24"/>
              </w:rPr>
            </w:pPr>
            <w:r>
              <w:rPr>
                <w:rFonts w:cs="Arial"/>
                <w:szCs w:val="24"/>
              </w:rPr>
              <w:t>18</w:t>
            </w:r>
          </w:p>
        </w:tc>
        <w:tc>
          <w:tcPr>
            <w:tcW w:w="1938" w:type="dxa"/>
            <w:tcBorders>
              <w:top w:val="single" w:sz="4" w:space="0" w:color="auto"/>
              <w:bottom w:val="single" w:sz="4" w:space="0" w:color="auto"/>
              <w:right w:val="double" w:sz="4" w:space="0" w:color="auto"/>
            </w:tcBorders>
            <w:shd w:val="clear" w:color="auto" w:fill="FFFF99"/>
            <w:vAlign w:val="center"/>
          </w:tcPr>
          <w:p w:rsidR="004D7167" w:rsidRPr="00014645" w:rsidRDefault="004D7167" w:rsidP="004D7167">
            <w:pPr>
              <w:spacing w:before="0"/>
              <w:jc w:val="center"/>
              <w:rPr>
                <w:rFonts w:cs="Arial"/>
                <w:szCs w:val="24"/>
              </w:rPr>
            </w:pPr>
            <w:r>
              <w:rPr>
                <w:rFonts w:cs="Arial"/>
                <w:szCs w:val="24"/>
              </w:rPr>
              <w:t>12,4</w:t>
            </w:r>
          </w:p>
        </w:tc>
      </w:tr>
      <w:tr w:rsidR="004D7167" w:rsidRPr="00014645" w:rsidTr="00C50D06">
        <w:tc>
          <w:tcPr>
            <w:tcW w:w="1297" w:type="dxa"/>
            <w:vMerge/>
            <w:tcBorders>
              <w:left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4D7167" w:rsidRPr="00014645" w:rsidRDefault="004D7167" w:rsidP="007C195E">
            <w:pPr>
              <w:spacing w:before="0"/>
              <w:jc w:val="left"/>
              <w:rPr>
                <w:rFonts w:cs="Arial"/>
                <w:szCs w:val="24"/>
              </w:rPr>
            </w:pPr>
            <w:r>
              <w:rPr>
                <w:rFonts w:cs="Arial"/>
                <w:szCs w:val="24"/>
              </w:rPr>
              <w:t>26-39 let</w:t>
            </w:r>
          </w:p>
        </w:tc>
        <w:tc>
          <w:tcPr>
            <w:tcW w:w="2113" w:type="dxa"/>
            <w:tcBorders>
              <w:top w:val="single" w:sz="4" w:space="0" w:color="auto"/>
              <w:bottom w:val="single" w:sz="4" w:space="0" w:color="auto"/>
            </w:tcBorders>
            <w:shd w:val="clear" w:color="auto" w:fill="FFFF99"/>
            <w:vAlign w:val="center"/>
          </w:tcPr>
          <w:p w:rsidR="004D7167" w:rsidRDefault="004D7167" w:rsidP="004D7167">
            <w:pPr>
              <w:spacing w:before="0"/>
              <w:jc w:val="center"/>
              <w:rPr>
                <w:rFonts w:cs="Arial"/>
                <w:szCs w:val="24"/>
              </w:rPr>
            </w:pPr>
            <w:r>
              <w:rPr>
                <w:rFonts w:cs="Arial"/>
                <w:szCs w:val="24"/>
              </w:rPr>
              <w:t>19</w:t>
            </w:r>
          </w:p>
        </w:tc>
        <w:tc>
          <w:tcPr>
            <w:tcW w:w="1938" w:type="dxa"/>
            <w:tcBorders>
              <w:top w:val="single" w:sz="4" w:space="0" w:color="auto"/>
              <w:bottom w:val="single" w:sz="4" w:space="0" w:color="auto"/>
              <w:right w:val="double" w:sz="4" w:space="0" w:color="auto"/>
            </w:tcBorders>
            <w:shd w:val="clear" w:color="auto" w:fill="FFFF99"/>
            <w:vAlign w:val="center"/>
          </w:tcPr>
          <w:p w:rsidR="004D7167" w:rsidRPr="00014645" w:rsidRDefault="004D7167" w:rsidP="004D7167">
            <w:pPr>
              <w:spacing w:before="0"/>
              <w:jc w:val="center"/>
              <w:rPr>
                <w:rFonts w:cs="Arial"/>
                <w:szCs w:val="24"/>
              </w:rPr>
            </w:pPr>
            <w:r>
              <w:rPr>
                <w:rFonts w:cs="Arial"/>
                <w:szCs w:val="24"/>
              </w:rPr>
              <w:t>13,1</w:t>
            </w:r>
          </w:p>
        </w:tc>
      </w:tr>
      <w:tr w:rsidR="004D7167" w:rsidRPr="00014645" w:rsidTr="00C50D06">
        <w:tc>
          <w:tcPr>
            <w:tcW w:w="1297" w:type="dxa"/>
            <w:vMerge/>
            <w:tcBorders>
              <w:left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4D7167" w:rsidRPr="00014645" w:rsidRDefault="004D7167" w:rsidP="002F3DC3">
            <w:pPr>
              <w:spacing w:before="0"/>
              <w:jc w:val="left"/>
              <w:rPr>
                <w:rFonts w:cs="Arial"/>
                <w:szCs w:val="24"/>
              </w:rPr>
            </w:pPr>
            <w:r>
              <w:rPr>
                <w:rFonts w:cs="Arial"/>
                <w:szCs w:val="24"/>
              </w:rPr>
              <w:t>40-49 let</w:t>
            </w:r>
          </w:p>
        </w:tc>
        <w:tc>
          <w:tcPr>
            <w:tcW w:w="2113" w:type="dxa"/>
            <w:tcBorders>
              <w:top w:val="single" w:sz="4" w:space="0" w:color="auto"/>
              <w:bottom w:val="single" w:sz="4" w:space="0" w:color="auto"/>
            </w:tcBorders>
            <w:shd w:val="clear" w:color="auto" w:fill="FFFF99"/>
            <w:vAlign w:val="center"/>
          </w:tcPr>
          <w:p w:rsidR="004D7167" w:rsidRDefault="004D7167" w:rsidP="004D7167">
            <w:pPr>
              <w:spacing w:before="0"/>
              <w:jc w:val="center"/>
              <w:rPr>
                <w:rFonts w:cs="Arial"/>
                <w:szCs w:val="24"/>
              </w:rPr>
            </w:pPr>
            <w:r>
              <w:rPr>
                <w:rFonts w:cs="Arial"/>
                <w:szCs w:val="24"/>
              </w:rPr>
              <w:t>24</w:t>
            </w:r>
          </w:p>
        </w:tc>
        <w:tc>
          <w:tcPr>
            <w:tcW w:w="1938" w:type="dxa"/>
            <w:tcBorders>
              <w:top w:val="single" w:sz="4" w:space="0" w:color="auto"/>
              <w:bottom w:val="single" w:sz="4" w:space="0" w:color="auto"/>
              <w:right w:val="double" w:sz="4" w:space="0" w:color="auto"/>
            </w:tcBorders>
            <w:shd w:val="clear" w:color="auto" w:fill="FFFF99"/>
            <w:vAlign w:val="center"/>
          </w:tcPr>
          <w:p w:rsidR="004D7167" w:rsidRPr="00014645" w:rsidRDefault="004D7167" w:rsidP="004D7167">
            <w:pPr>
              <w:spacing w:before="0"/>
              <w:jc w:val="center"/>
              <w:rPr>
                <w:rFonts w:cs="Arial"/>
                <w:szCs w:val="24"/>
              </w:rPr>
            </w:pPr>
            <w:r>
              <w:rPr>
                <w:rFonts w:cs="Arial"/>
                <w:szCs w:val="24"/>
              </w:rPr>
              <w:t>16,6</w:t>
            </w:r>
          </w:p>
        </w:tc>
      </w:tr>
      <w:tr w:rsidR="004D7167" w:rsidRPr="00014645" w:rsidTr="00C50D06">
        <w:tc>
          <w:tcPr>
            <w:tcW w:w="1297" w:type="dxa"/>
            <w:vMerge/>
            <w:tcBorders>
              <w:left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4D7167" w:rsidRPr="00014645" w:rsidRDefault="004D7167" w:rsidP="007C195E">
            <w:pPr>
              <w:spacing w:before="0"/>
              <w:jc w:val="left"/>
              <w:rPr>
                <w:rFonts w:cs="Arial"/>
                <w:szCs w:val="24"/>
              </w:rPr>
            </w:pPr>
            <w:r>
              <w:rPr>
                <w:rFonts w:cs="Arial"/>
                <w:szCs w:val="24"/>
              </w:rPr>
              <w:t>50-59 let</w:t>
            </w:r>
          </w:p>
        </w:tc>
        <w:tc>
          <w:tcPr>
            <w:tcW w:w="2113" w:type="dxa"/>
            <w:tcBorders>
              <w:top w:val="single" w:sz="4" w:space="0" w:color="auto"/>
              <w:bottom w:val="single" w:sz="4" w:space="0" w:color="auto"/>
            </w:tcBorders>
            <w:shd w:val="clear" w:color="auto" w:fill="FFFF99"/>
            <w:vAlign w:val="center"/>
          </w:tcPr>
          <w:p w:rsidR="004D7167" w:rsidRDefault="004D7167" w:rsidP="004D7167">
            <w:pPr>
              <w:spacing w:before="0"/>
              <w:jc w:val="center"/>
              <w:rPr>
                <w:rFonts w:cs="Arial"/>
                <w:szCs w:val="24"/>
              </w:rPr>
            </w:pPr>
            <w:r>
              <w:rPr>
                <w:rFonts w:cs="Arial"/>
                <w:szCs w:val="24"/>
              </w:rPr>
              <w:t>15</w:t>
            </w:r>
          </w:p>
        </w:tc>
        <w:tc>
          <w:tcPr>
            <w:tcW w:w="1938" w:type="dxa"/>
            <w:tcBorders>
              <w:top w:val="single" w:sz="4" w:space="0" w:color="auto"/>
              <w:bottom w:val="single" w:sz="4" w:space="0" w:color="auto"/>
              <w:right w:val="double" w:sz="4" w:space="0" w:color="auto"/>
            </w:tcBorders>
            <w:shd w:val="clear" w:color="auto" w:fill="FFFF99"/>
            <w:vAlign w:val="center"/>
          </w:tcPr>
          <w:p w:rsidR="004D7167" w:rsidRPr="00014645" w:rsidRDefault="004D7167" w:rsidP="004D7167">
            <w:pPr>
              <w:spacing w:before="0"/>
              <w:jc w:val="center"/>
              <w:rPr>
                <w:rFonts w:cs="Arial"/>
                <w:szCs w:val="24"/>
              </w:rPr>
            </w:pPr>
            <w:r>
              <w:rPr>
                <w:rFonts w:cs="Arial"/>
                <w:szCs w:val="24"/>
              </w:rPr>
              <w:t>10,3</w:t>
            </w:r>
          </w:p>
        </w:tc>
      </w:tr>
      <w:tr w:rsidR="004D7167" w:rsidRPr="00014645" w:rsidTr="00C50D06">
        <w:tc>
          <w:tcPr>
            <w:tcW w:w="1297" w:type="dxa"/>
            <w:vMerge/>
            <w:tcBorders>
              <w:left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4D7167" w:rsidRDefault="004D7167" w:rsidP="002F3DC3">
            <w:pPr>
              <w:spacing w:before="0"/>
              <w:jc w:val="left"/>
              <w:rPr>
                <w:rFonts w:cs="Arial"/>
                <w:szCs w:val="24"/>
              </w:rPr>
            </w:pPr>
            <w:r>
              <w:rPr>
                <w:rFonts w:cs="Arial"/>
                <w:szCs w:val="24"/>
              </w:rPr>
              <w:t>60-70 let</w:t>
            </w:r>
          </w:p>
        </w:tc>
        <w:tc>
          <w:tcPr>
            <w:tcW w:w="2113" w:type="dxa"/>
            <w:tcBorders>
              <w:top w:val="single" w:sz="4" w:space="0" w:color="auto"/>
              <w:bottom w:val="single" w:sz="4" w:space="0" w:color="auto"/>
            </w:tcBorders>
            <w:shd w:val="clear" w:color="auto" w:fill="FFFF99"/>
            <w:vAlign w:val="center"/>
          </w:tcPr>
          <w:p w:rsidR="004D7167" w:rsidRDefault="004D7167" w:rsidP="004D7167">
            <w:pPr>
              <w:spacing w:before="0"/>
              <w:jc w:val="center"/>
              <w:rPr>
                <w:rFonts w:cs="Arial"/>
                <w:szCs w:val="24"/>
              </w:rPr>
            </w:pPr>
            <w:r>
              <w:rPr>
                <w:rFonts w:cs="Arial"/>
                <w:szCs w:val="24"/>
              </w:rPr>
              <w:t>33</w:t>
            </w:r>
          </w:p>
        </w:tc>
        <w:tc>
          <w:tcPr>
            <w:tcW w:w="1938" w:type="dxa"/>
            <w:tcBorders>
              <w:top w:val="single" w:sz="4" w:space="0" w:color="auto"/>
              <w:bottom w:val="single" w:sz="4" w:space="0" w:color="auto"/>
              <w:right w:val="double" w:sz="4" w:space="0" w:color="auto"/>
            </w:tcBorders>
            <w:shd w:val="clear" w:color="auto" w:fill="FFFF99"/>
            <w:vAlign w:val="center"/>
          </w:tcPr>
          <w:p w:rsidR="004D7167" w:rsidRPr="00014645" w:rsidRDefault="004D7167" w:rsidP="004D7167">
            <w:pPr>
              <w:spacing w:before="0"/>
              <w:jc w:val="center"/>
              <w:rPr>
                <w:rFonts w:cs="Arial"/>
                <w:szCs w:val="24"/>
              </w:rPr>
            </w:pPr>
            <w:r>
              <w:rPr>
                <w:rFonts w:cs="Arial"/>
                <w:szCs w:val="24"/>
              </w:rPr>
              <w:t>22,8</w:t>
            </w:r>
          </w:p>
        </w:tc>
      </w:tr>
      <w:tr w:rsidR="004D7167" w:rsidRPr="00014645" w:rsidTr="00C50D06">
        <w:tc>
          <w:tcPr>
            <w:tcW w:w="1297" w:type="dxa"/>
            <w:vMerge/>
            <w:tcBorders>
              <w:left w:val="double" w:sz="4" w:space="0" w:color="auto"/>
              <w:bottom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double" w:sz="4" w:space="0" w:color="auto"/>
            </w:tcBorders>
            <w:shd w:val="clear" w:color="auto" w:fill="FDE9D9" w:themeFill="accent6" w:themeFillTint="33"/>
            <w:vAlign w:val="center"/>
          </w:tcPr>
          <w:p w:rsidR="004D7167" w:rsidRPr="00014645" w:rsidRDefault="004D7167" w:rsidP="007C195E">
            <w:pPr>
              <w:spacing w:before="0"/>
              <w:jc w:val="left"/>
              <w:rPr>
                <w:rFonts w:cs="Arial"/>
                <w:szCs w:val="24"/>
              </w:rPr>
            </w:pPr>
            <w:r>
              <w:rPr>
                <w:rFonts w:cs="Arial"/>
                <w:szCs w:val="24"/>
              </w:rPr>
              <w:t>71 let a více</w:t>
            </w:r>
          </w:p>
        </w:tc>
        <w:tc>
          <w:tcPr>
            <w:tcW w:w="2113" w:type="dxa"/>
            <w:tcBorders>
              <w:top w:val="single" w:sz="4" w:space="0" w:color="auto"/>
              <w:bottom w:val="double" w:sz="4" w:space="0" w:color="auto"/>
            </w:tcBorders>
            <w:shd w:val="clear" w:color="auto" w:fill="FFFF99"/>
            <w:vAlign w:val="center"/>
          </w:tcPr>
          <w:p w:rsidR="004D7167" w:rsidRDefault="004D7167" w:rsidP="004D7167">
            <w:pPr>
              <w:spacing w:before="0"/>
              <w:jc w:val="center"/>
              <w:rPr>
                <w:rFonts w:cs="Arial"/>
                <w:szCs w:val="24"/>
              </w:rPr>
            </w:pPr>
            <w:r>
              <w:rPr>
                <w:rFonts w:cs="Arial"/>
                <w:szCs w:val="24"/>
              </w:rPr>
              <w:t>36</w:t>
            </w:r>
          </w:p>
        </w:tc>
        <w:tc>
          <w:tcPr>
            <w:tcW w:w="1938" w:type="dxa"/>
            <w:tcBorders>
              <w:top w:val="single" w:sz="4" w:space="0" w:color="auto"/>
              <w:bottom w:val="double" w:sz="4" w:space="0" w:color="auto"/>
              <w:right w:val="double" w:sz="4" w:space="0" w:color="auto"/>
            </w:tcBorders>
            <w:shd w:val="clear" w:color="auto" w:fill="FFFF99"/>
            <w:vAlign w:val="center"/>
          </w:tcPr>
          <w:p w:rsidR="004D7167" w:rsidRPr="00014645" w:rsidRDefault="004D7167" w:rsidP="004D7167">
            <w:pPr>
              <w:spacing w:before="0"/>
              <w:jc w:val="center"/>
              <w:rPr>
                <w:rFonts w:cs="Arial"/>
                <w:szCs w:val="24"/>
              </w:rPr>
            </w:pPr>
            <w:r>
              <w:rPr>
                <w:rFonts w:cs="Arial"/>
                <w:szCs w:val="24"/>
              </w:rPr>
              <w:t>24,8</w:t>
            </w:r>
          </w:p>
        </w:tc>
      </w:tr>
      <w:tr w:rsidR="004D7167" w:rsidRPr="00014645" w:rsidTr="00C50D06">
        <w:trPr>
          <w:cantSplit/>
          <w:trHeight w:val="340"/>
        </w:trPr>
        <w:tc>
          <w:tcPr>
            <w:tcW w:w="1297" w:type="dxa"/>
            <w:vMerge w:val="restart"/>
            <w:tcBorders>
              <w:top w:val="double" w:sz="4" w:space="0" w:color="auto"/>
              <w:left w:val="double" w:sz="4" w:space="0" w:color="auto"/>
              <w:right w:val="double" w:sz="6" w:space="0" w:color="auto"/>
            </w:tcBorders>
            <w:shd w:val="clear" w:color="auto" w:fill="F9AD6F"/>
            <w:textDirection w:val="btLr"/>
            <w:vAlign w:val="center"/>
          </w:tcPr>
          <w:p w:rsidR="004D7167" w:rsidRPr="00CD2710" w:rsidRDefault="004D7167" w:rsidP="007C195E">
            <w:pPr>
              <w:spacing w:before="0"/>
              <w:ind w:left="113" w:right="113"/>
              <w:jc w:val="center"/>
              <w:rPr>
                <w:rFonts w:cs="Arial"/>
                <w:b/>
                <w:szCs w:val="24"/>
              </w:rPr>
            </w:pPr>
            <w:r>
              <w:rPr>
                <w:rFonts w:cs="Arial"/>
                <w:b/>
                <w:szCs w:val="24"/>
              </w:rPr>
              <w:t>Vzdělání</w:t>
            </w:r>
          </w:p>
        </w:tc>
        <w:tc>
          <w:tcPr>
            <w:tcW w:w="3940" w:type="dxa"/>
            <w:tcBorders>
              <w:top w:val="double" w:sz="4" w:space="0" w:color="auto"/>
              <w:left w:val="double" w:sz="6" w:space="0" w:color="auto"/>
              <w:bottom w:val="single" w:sz="4" w:space="0" w:color="auto"/>
            </w:tcBorders>
            <w:shd w:val="clear" w:color="auto" w:fill="FDE9D9" w:themeFill="accent6" w:themeFillTint="33"/>
            <w:vAlign w:val="center"/>
          </w:tcPr>
          <w:p w:rsidR="004D7167" w:rsidRDefault="004D7167" w:rsidP="007C195E">
            <w:pPr>
              <w:spacing w:before="0"/>
              <w:jc w:val="left"/>
              <w:rPr>
                <w:rFonts w:cs="Arial"/>
                <w:szCs w:val="24"/>
              </w:rPr>
            </w:pPr>
            <w:r>
              <w:rPr>
                <w:rFonts w:cs="Arial"/>
                <w:szCs w:val="24"/>
              </w:rPr>
              <w:t>Základní</w:t>
            </w:r>
          </w:p>
        </w:tc>
        <w:tc>
          <w:tcPr>
            <w:tcW w:w="2113" w:type="dxa"/>
            <w:tcBorders>
              <w:top w:val="double" w:sz="4" w:space="0" w:color="auto"/>
              <w:bottom w:val="single" w:sz="4" w:space="0" w:color="auto"/>
            </w:tcBorders>
            <w:shd w:val="clear" w:color="auto" w:fill="FFFF99"/>
            <w:vAlign w:val="center"/>
          </w:tcPr>
          <w:p w:rsidR="004D7167" w:rsidRDefault="004D7167" w:rsidP="007C195E">
            <w:pPr>
              <w:spacing w:before="0"/>
              <w:jc w:val="center"/>
              <w:rPr>
                <w:rFonts w:cs="Arial"/>
                <w:szCs w:val="24"/>
              </w:rPr>
            </w:pPr>
            <w:r>
              <w:rPr>
                <w:rFonts w:cs="Arial"/>
                <w:szCs w:val="24"/>
              </w:rPr>
              <w:t>49</w:t>
            </w:r>
          </w:p>
        </w:tc>
        <w:tc>
          <w:tcPr>
            <w:tcW w:w="1938" w:type="dxa"/>
            <w:tcBorders>
              <w:top w:val="double" w:sz="4" w:space="0" w:color="auto"/>
              <w:bottom w:val="single" w:sz="4" w:space="0" w:color="auto"/>
              <w:right w:val="double" w:sz="4" w:space="0" w:color="auto"/>
            </w:tcBorders>
            <w:shd w:val="clear" w:color="auto" w:fill="FFFF99"/>
            <w:vAlign w:val="center"/>
          </w:tcPr>
          <w:p w:rsidR="004D7167" w:rsidRPr="00014645" w:rsidRDefault="004D7167" w:rsidP="007C195E">
            <w:pPr>
              <w:spacing w:before="0"/>
              <w:jc w:val="center"/>
              <w:rPr>
                <w:rFonts w:cs="Arial"/>
                <w:szCs w:val="24"/>
              </w:rPr>
            </w:pPr>
            <w:r>
              <w:rPr>
                <w:rFonts w:cs="Arial"/>
                <w:szCs w:val="24"/>
              </w:rPr>
              <w:t>35,3</w:t>
            </w:r>
          </w:p>
        </w:tc>
      </w:tr>
      <w:tr w:rsidR="004D7167" w:rsidRPr="00014645" w:rsidTr="00C50D06">
        <w:trPr>
          <w:cantSplit/>
          <w:trHeight w:val="340"/>
        </w:trPr>
        <w:tc>
          <w:tcPr>
            <w:tcW w:w="1297" w:type="dxa"/>
            <w:vMerge/>
            <w:tcBorders>
              <w:left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4D7167" w:rsidRDefault="004D7167" w:rsidP="007C195E">
            <w:pPr>
              <w:spacing w:before="0"/>
              <w:jc w:val="left"/>
              <w:rPr>
                <w:rFonts w:cs="Arial"/>
                <w:szCs w:val="24"/>
              </w:rPr>
            </w:pPr>
            <w:r w:rsidRPr="00F95D50">
              <w:rPr>
                <w:rFonts w:cs="Arial"/>
                <w:szCs w:val="20"/>
              </w:rPr>
              <w:t>Vyučen(a), střední bez maturity</w:t>
            </w:r>
          </w:p>
        </w:tc>
        <w:tc>
          <w:tcPr>
            <w:tcW w:w="2113" w:type="dxa"/>
            <w:tcBorders>
              <w:top w:val="single" w:sz="4" w:space="0" w:color="auto"/>
              <w:bottom w:val="single" w:sz="4" w:space="0" w:color="auto"/>
            </w:tcBorders>
            <w:shd w:val="clear" w:color="auto" w:fill="FFFF99"/>
            <w:vAlign w:val="center"/>
          </w:tcPr>
          <w:p w:rsidR="004D7167" w:rsidRDefault="004D7167" w:rsidP="007C195E">
            <w:pPr>
              <w:spacing w:before="0"/>
              <w:jc w:val="center"/>
              <w:rPr>
                <w:rFonts w:cs="Arial"/>
                <w:szCs w:val="24"/>
              </w:rPr>
            </w:pPr>
            <w:r>
              <w:rPr>
                <w:rFonts w:cs="Arial"/>
                <w:szCs w:val="24"/>
              </w:rPr>
              <w:t>59</w:t>
            </w:r>
          </w:p>
        </w:tc>
        <w:tc>
          <w:tcPr>
            <w:tcW w:w="1938" w:type="dxa"/>
            <w:tcBorders>
              <w:top w:val="single" w:sz="4" w:space="0" w:color="auto"/>
              <w:bottom w:val="single" w:sz="4" w:space="0" w:color="auto"/>
              <w:right w:val="double" w:sz="4" w:space="0" w:color="auto"/>
            </w:tcBorders>
            <w:shd w:val="clear" w:color="auto" w:fill="FFFF99"/>
            <w:vAlign w:val="center"/>
          </w:tcPr>
          <w:p w:rsidR="004D7167" w:rsidRPr="00014645" w:rsidRDefault="004D7167" w:rsidP="007C195E">
            <w:pPr>
              <w:spacing w:before="0"/>
              <w:jc w:val="center"/>
              <w:rPr>
                <w:rFonts w:cs="Arial"/>
                <w:szCs w:val="24"/>
              </w:rPr>
            </w:pPr>
            <w:r>
              <w:rPr>
                <w:rFonts w:cs="Arial"/>
                <w:szCs w:val="24"/>
              </w:rPr>
              <w:t>42,4</w:t>
            </w:r>
          </w:p>
        </w:tc>
      </w:tr>
      <w:tr w:rsidR="004D7167" w:rsidRPr="00014645" w:rsidTr="00C50D06">
        <w:trPr>
          <w:cantSplit/>
          <w:trHeight w:val="340"/>
        </w:trPr>
        <w:tc>
          <w:tcPr>
            <w:tcW w:w="1297" w:type="dxa"/>
            <w:vMerge/>
            <w:tcBorders>
              <w:left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4D7167" w:rsidRDefault="004D7167" w:rsidP="007C195E">
            <w:pPr>
              <w:spacing w:before="0"/>
              <w:jc w:val="left"/>
              <w:rPr>
                <w:rFonts w:cs="Arial"/>
                <w:szCs w:val="24"/>
              </w:rPr>
            </w:pPr>
            <w:r w:rsidRPr="00F95D50">
              <w:rPr>
                <w:rFonts w:cs="Arial"/>
                <w:szCs w:val="20"/>
              </w:rPr>
              <w:t>Střední s maturitou (popř. vyšší odborné)</w:t>
            </w:r>
          </w:p>
        </w:tc>
        <w:tc>
          <w:tcPr>
            <w:tcW w:w="2113" w:type="dxa"/>
            <w:tcBorders>
              <w:top w:val="single" w:sz="4" w:space="0" w:color="auto"/>
              <w:bottom w:val="single" w:sz="4" w:space="0" w:color="auto"/>
            </w:tcBorders>
            <w:shd w:val="clear" w:color="auto" w:fill="FFFF99"/>
            <w:vAlign w:val="center"/>
          </w:tcPr>
          <w:p w:rsidR="004D7167" w:rsidRDefault="004D7167" w:rsidP="007C195E">
            <w:pPr>
              <w:spacing w:before="0"/>
              <w:jc w:val="center"/>
              <w:rPr>
                <w:rFonts w:cs="Arial"/>
                <w:szCs w:val="24"/>
              </w:rPr>
            </w:pPr>
            <w:r>
              <w:rPr>
                <w:rFonts w:cs="Arial"/>
                <w:szCs w:val="24"/>
              </w:rPr>
              <w:t>28</w:t>
            </w:r>
          </w:p>
        </w:tc>
        <w:tc>
          <w:tcPr>
            <w:tcW w:w="1938" w:type="dxa"/>
            <w:tcBorders>
              <w:top w:val="single" w:sz="4" w:space="0" w:color="auto"/>
              <w:bottom w:val="single" w:sz="4" w:space="0" w:color="auto"/>
              <w:right w:val="double" w:sz="4" w:space="0" w:color="auto"/>
            </w:tcBorders>
            <w:shd w:val="clear" w:color="auto" w:fill="FFFF99"/>
            <w:vAlign w:val="center"/>
          </w:tcPr>
          <w:p w:rsidR="004D7167" w:rsidRPr="00014645" w:rsidRDefault="004D7167" w:rsidP="007C195E">
            <w:pPr>
              <w:spacing w:before="0"/>
              <w:jc w:val="center"/>
              <w:rPr>
                <w:rFonts w:cs="Arial"/>
                <w:szCs w:val="24"/>
              </w:rPr>
            </w:pPr>
            <w:r>
              <w:rPr>
                <w:rFonts w:cs="Arial"/>
                <w:szCs w:val="24"/>
              </w:rPr>
              <w:t>20,1</w:t>
            </w:r>
          </w:p>
        </w:tc>
      </w:tr>
      <w:tr w:rsidR="004D7167" w:rsidRPr="00014645" w:rsidTr="00C50D06">
        <w:trPr>
          <w:cantSplit/>
          <w:trHeight w:val="340"/>
        </w:trPr>
        <w:tc>
          <w:tcPr>
            <w:tcW w:w="1297" w:type="dxa"/>
            <w:vMerge/>
            <w:tcBorders>
              <w:left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vAlign w:val="center"/>
          </w:tcPr>
          <w:p w:rsidR="004D7167" w:rsidRDefault="004D7167" w:rsidP="007C195E">
            <w:pPr>
              <w:spacing w:before="0"/>
              <w:jc w:val="left"/>
              <w:rPr>
                <w:rFonts w:cs="Arial"/>
                <w:szCs w:val="24"/>
              </w:rPr>
            </w:pPr>
            <w:r w:rsidRPr="00F95D50">
              <w:rPr>
                <w:rFonts w:cs="Arial"/>
                <w:szCs w:val="20"/>
              </w:rPr>
              <w:t>Vysokoškolské</w:t>
            </w:r>
          </w:p>
        </w:tc>
        <w:tc>
          <w:tcPr>
            <w:tcW w:w="2113" w:type="dxa"/>
            <w:tcBorders>
              <w:top w:val="single" w:sz="4" w:space="0" w:color="auto"/>
              <w:bottom w:val="single" w:sz="4" w:space="0" w:color="auto"/>
            </w:tcBorders>
            <w:shd w:val="clear" w:color="auto" w:fill="FFFF99"/>
            <w:vAlign w:val="center"/>
          </w:tcPr>
          <w:p w:rsidR="004D7167" w:rsidRDefault="004D7167" w:rsidP="007C195E">
            <w:pPr>
              <w:spacing w:before="0"/>
              <w:jc w:val="center"/>
              <w:rPr>
                <w:rFonts w:cs="Arial"/>
                <w:szCs w:val="24"/>
              </w:rPr>
            </w:pPr>
            <w:r>
              <w:rPr>
                <w:rFonts w:cs="Arial"/>
                <w:szCs w:val="24"/>
              </w:rPr>
              <w:t>3</w:t>
            </w:r>
          </w:p>
        </w:tc>
        <w:tc>
          <w:tcPr>
            <w:tcW w:w="1938" w:type="dxa"/>
            <w:tcBorders>
              <w:top w:val="single" w:sz="4" w:space="0" w:color="auto"/>
              <w:bottom w:val="single" w:sz="4" w:space="0" w:color="auto"/>
              <w:right w:val="double" w:sz="4" w:space="0" w:color="auto"/>
            </w:tcBorders>
            <w:shd w:val="clear" w:color="auto" w:fill="FFFF99"/>
            <w:vAlign w:val="center"/>
          </w:tcPr>
          <w:p w:rsidR="004D7167" w:rsidRPr="00014645" w:rsidRDefault="004D7167" w:rsidP="007C195E">
            <w:pPr>
              <w:spacing w:before="0"/>
              <w:jc w:val="center"/>
              <w:rPr>
                <w:rFonts w:cs="Arial"/>
                <w:szCs w:val="24"/>
              </w:rPr>
            </w:pPr>
            <w:r>
              <w:rPr>
                <w:rFonts w:cs="Arial"/>
                <w:szCs w:val="24"/>
              </w:rPr>
              <w:t>2,2</w:t>
            </w:r>
          </w:p>
        </w:tc>
      </w:tr>
      <w:tr w:rsidR="004D7167" w:rsidRPr="00014645" w:rsidTr="00C50D06">
        <w:tc>
          <w:tcPr>
            <w:tcW w:w="1297" w:type="dxa"/>
            <w:vMerge w:val="restart"/>
            <w:tcBorders>
              <w:top w:val="double" w:sz="4" w:space="0" w:color="auto"/>
              <w:left w:val="double" w:sz="4" w:space="0" w:color="auto"/>
              <w:right w:val="double" w:sz="6" w:space="0" w:color="auto"/>
            </w:tcBorders>
            <w:shd w:val="clear" w:color="auto" w:fill="F9AD6F"/>
            <w:textDirection w:val="btLr"/>
            <w:vAlign w:val="center"/>
          </w:tcPr>
          <w:p w:rsidR="004D7167" w:rsidRPr="006D6D07" w:rsidRDefault="004D7167" w:rsidP="006D6D07">
            <w:pPr>
              <w:spacing w:before="0"/>
              <w:ind w:left="113" w:right="113"/>
              <w:jc w:val="center"/>
              <w:rPr>
                <w:rFonts w:cs="Arial"/>
                <w:b/>
                <w:szCs w:val="24"/>
              </w:rPr>
            </w:pPr>
            <w:r w:rsidRPr="006D6D07">
              <w:rPr>
                <w:rFonts w:cs="Arial"/>
                <w:b/>
                <w:szCs w:val="24"/>
              </w:rPr>
              <w:t>Typ postižení</w:t>
            </w:r>
          </w:p>
        </w:tc>
        <w:tc>
          <w:tcPr>
            <w:tcW w:w="3940" w:type="dxa"/>
            <w:tcBorders>
              <w:top w:val="double" w:sz="4" w:space="0" w:color="auto"/>
              <w:left w:val="double" w:sz="6" w:space="0" w:color="auto"/>
              <w:bottom w:val="single" w:sz="4" w:space="0" w:color="auto"/>
            </w:tcBorders>
            <w:shd w:val="clear" w:color="auto" w:fill="FDE9D9" w:themeFill="accent6" w:themeFillTint="33"/>
          </w:tcPr>
          <w:p w:rsidR="004D7167" w:rsidRDefault="004D7167" w:rsidP="007C195E">
            <w:pPr>
              <w:spacing w:before="0"/>
              <w:jc w:val="left"/>
              <w:rPr>
                <w:rFonts w:cs="Arial"/>
                <w:szCs w:val="24"/>
              </w:rPr>
            </w:pPr>
            <w:r>
              <w:rPr>
                <w:rFonts w:cs="Arial"/>
                <w:szCs w:val="24"/>
              </w:rPr>
              <w:t>Tělesné</w:t>
            </w:r>
          </w:p>
        </w:tc>
        <w:tc>
          <w:tcPr>
            <w:tcW w:w="2113" w:type="dxa"/>
            <w:tcBorders>
              <w:top w:val="double" w:sz="4" w:space="0" w:color="auto"/>
              <w:bottom w:val="single" w:sz="4" w:space="0" w:color="auto"/>
            </w:tcBorders>
            <w:shd w:val="clear" w:color="auto" w:fill="FFFF99"/>
            <w:vAlign w:val="center"/>
          </w:tcPr>
          <w:p w:rsidR="004D7167" w:rsidRDefault="004D7167" w:rsidP="007C195E">
            <w:pPr>
              <w:spacing w:before="0"/>
              <w:jc w:val="center"/>
              <w:rPr>
                <w:rFonts w:cs="Arial"/>
                <w:szCs w:val="24"/>
              </w:rPr>
            </w:pPr>
            <w:r>
              <w:rPr>
                <w:rFonts w:cs="Arial"/>
                <w:szCs w:val="24"/>
              </w:rPr>
              <w:t>75</w:t>
            </w:r>
          </w:p>
        </w:tc>
        <w:tc>
          <w:tcPr>
            <w:tcW w:w="1938" w:type="dxa"/>
            <w:tcBorders>
              <w:top w:val="double" w:sz="4" w:space="0" w:color="auto"/>
              <w:bottom w:val="single" w:sz="4" w:space="0" w:color="auto"/>
              <w:right w:val="double" w:sz="4" w:space="0" w:color="auto"/>
            </w:tcBorders>
            <w:shd w:val="clear" w:color="auto" w:fill="FFFF99"/>
            <w:vAlign w:val="center"/>
          </w:tcPr>
          <w:p w:rsidR="004D7167" w:rsidRPr="00014645" w:rsidRDefault="004D7167" w:rsidP="007C195E">
            <w:pPr>
              <w:spacing w:before="0"/>
              <w:jc w:val="center"/>
              <w:rPr>
                <w:rFonts w:cs="Arial"/>
                <w:szCs w:val="24"/>
              </w:rPr>
            </w:pPr>
            <w:r>
              <w:rPr>
                <w:rFonts w:cs="Arial"/>
                <w:szCs w:val="24"/>
              </w:rPr>
              <w:t>53,6</w:t>
            </w:r>
          </w:p>
        </w:tc>
      </w:tr>
      <w:tr w:rsidR="004D7167" w:rsidRPr="00014645" w:rsidTr="00C50D06">
        <w:tc>
          <w:tcPr>
            <w:tcW w:w="1297" w:type="dxa"/>
            <w:vMerge/>
            <w:tcBorders>
              <w:left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tcPr>
          <w:p w:rsidR="004D7167" w:rsidRDefault="004D7167" w:rsidP="007C195E">
            <w:pPr>
              <w:spacing w:before="0"/>
              <w:jc w:val="left"/>
              <w:rPr>
                <w:rFonts w:cs="Arial"/>
                <w:szCs w:val="24"/>
              </w:rPr>
            </w:pPr>
            <w:r>
              <w:rPr>
                <w:rFonts w:cs="Arial"/>
                <w:szCs w:val="24"/>
              </w:rPr>
              <w:t>Zrakové</w:t>
            </w:r>
          </w:p>
        </w:tc>
        <w:tc>
          <w:tcPr>
            <w:tcW w:w="2113" w:type="dxa"/>
            <w:tcBorders>
              <w:top w:val="single" w:sz="4" w:space="0" w:color="auto"/>
              <w:bottom w:val="single" w:sz="4" w:space="0" w:color="auto"/>
            </w:tcBorders>
            <w:shd w:val="clear" w:color="auto" w:fill="FFFF99"/>
            <w:vAlign w:val="center"/>
          </w:tcPr>
          <w:p w:rsidR="004D7167" w:rsidRDefault="004D7167" w:rsidP="007C195E">
            <w:pPr>
              <w:spacing w:before="0"/>
              <w:jc w:val="center"/>
              <w:rPr>
                <w:rFonts w:cs="Arial"/>
                <w:szCs w:val="24"/>
              </w:rPr>
            </w:pPr>
            <w:r>
              <w:rPr>
                <w:rFonts w:cs="Arial"/>
                <w:szCs w:val="24"/>
              </w:rPr>
              <w:t>12</w:t>
            </w:r>
          </w:p>
        </w:tc>
        <w:tc>
          <w:tcPr>
            <w:tcW w:w="1938" w:type="dxa"/>
            <w:tcBorders>
              <w:top w:val="single" w:sz="4" w:space="0" w:color="auto"/>
              <w:bottom w:val="single" w:sz="4" w:space="0" w:color="auto"/>
              <w:right w:val="double" w:sz="4" w:space="0" w:color="auto"/>
            </w:tcBorders>
            <w:shd w:val="clear" w:color="auto" w:fill="FFFF99"/>
            <w:vAlign w:val="center"/>
          </w:tcPr>
          <w:p w:rsidR="004D7167" w:rsidRPr="00014645" w:rsidRDefault="004D7167" w:rsidP="007C195E">
            <w:pPr>
              <w:spacing w:before="0"/>
              <w:jc w:val="center"/>
              <w:rPr>
                <w:rFonts w:cs="Arial"/>
                <w:szCs w:val="24"/>
              </w:rPr>
            </w:pPr>
            <w:r>
              <w:rPr>
                <w:rFonts w:cs="Arial"/>
                <w:szCs w:val="24"/>
              </w:rPr>
              <w:t>8,6</w:t>
            </w:r>
          </w:p>
        </w:tc>
      </w:tr>
      <w:tr w:rsidR="004D7167" w:rsidRPr="00014645" w:rsidTr="00C50D06">
        <w:tc>
          <w:tcPr>
            <w:tcW w:w="1297" w:type="dxa"/>
            <w:vMerge/>
            <w:tcBorders>
              <w:left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tcPr>
          <w:p w:rsidR="004D7167" w:rsidRDefault="004D7167" w:rsidP="007C195E">
            <w:pPr>
              <w:spacing w:before="0"/>
              <w:jc w:val="left"/>
              <w:rPr>
                <w:rFonts w:cs="Arial"/>
                <w:szCs w:val="24"/>
              </w:rPr>
            </w:pPr>
            <w:r>
              <w:rPr>
                <w:rFonts w:cs="Arial"/>
                <w:szCs w:val="24"/>
              </w:rPr>
              <w:t>Sluchové</w:t>
            </w:r>
          </w:p>
        </w:tc>
        <w:tc>
          <w:tcPr>
            <w:tcW w:w="2113" w:type="dxa"/>
            <w:tcBorders>
              <w:top w:val="single" w:sz="4" w:space="0" w:color="auto"/>
              <w:bottom w:val="single" w:sz="4" w:space="0" w:color="auto"/>
            </w:tcBorders>
            <w:shd w:val="clear" w:color="auto" w:fill="FFFF99"/>
            <w:vAlign w:val="center"/>
          </w:tcPr>
          <w:p w:rsidR="004D7167" w:rsidRDefault="004D7167" w:rsidP="007C195E">
            <w:pPr>
              <w:spacing w:before="0"/>
              <w:jc w:val="center"/>
              <w:rPr>
                <w:rFonts w:cs="Arial"/>
                <w:szCs w:val="24"/>
              </w:rPr>
            </w:pPr>
            <w:r>
              <w:rPr>
                <w:rFonts w:cs="Arial"/>
                <w:szCs w:val="24"/>
              </w:rPr>
              <w:t>6</w:t>
            </w:r>
          </w:p>
        </w:tc>
        <w:tc>
          <w:tcPr>
            <w:tcW w:w="1938" w:type="dxa"/>
            <w:tcBorders>
              <w:top w:val="single" w:sz="4" w:space="0" w:color="auto"/>
              <w:bottom w:val="single" w:sz="4" w:space="0" w:color="auto"/>
              <w:right w:val="double" w:sz="4" w:space="0" w:color="auto"/>
            </w:tcBorders>
            <w:shd w:val="clear" w:color="auto" w:fill="FFFF99"/>
            <w:vAlign w:val="center"/>
          </w:tcPr>
          <w:p w:rsidR="004D7167" w:rsidRPr="00014645" w:rsidRDefault="004D7167" w:rsidP="007C195E">
            <w:pPr>
              <w:spacing w:before="0"/>
              <w:jc w:val="center"/>
              <w:rPr>
                <w:rFonts w:cs="Arial"/>
                <w:szCs w:val="24"/>
              </w:rPr>
            </w:pPr>
            <w:r>
              <w:rPr>
                <w:rFonts w:cs="Arial"/>
                <w:szCs w:val="24"/>
              </w:rPr>
              <w:t>4,3</w:t>
            </w:r>
          </w:p>
        </w:tc>
      </w:tr>
      <w:tr w:rsidR="004D7167" w:rsidRPr="00014645" w:rsidTr="00C50D06">
        <w:tc>
          <w:tcPr>
            <w:tcW w:w="1297" w:type="dxa"/>
            <w:vMerge/>
            <w:tcBorders>
              <w:left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single" w:sz="4" w:space="0" w:color="auto"/>
            </w:tcBorders>
            <w:shd w:val="clear" w:color="auto" w:fill="FDE9D9" w:themeFill="accent6" w:themeFillTint="33"/>
          </w:tcPr>
          <w:p w:rsidR="004D7167" w:rsidRDefault="004D7167" w:rsidP="007C195E">
            <w:pPr>
              <w:spacing w:before="0"/>
              <w:jc w:val="left"/>
              <w:rPr>
                <w:rFonts w:cs="Arial"/>
                <w:szCs w:val="24"/>
              </w:rPr>
            </w:pPr>
            <w:r>
              <w:rPr>
                <w:rFonts w:cs="Arial"/>
                <w:szCs w:val="24"/>
              </w:rPr>
              <w:t>Duševní onemocnění</w:t>
            </w:r>
          </w:p>
        </w:tc>
        <w:tc>
          <w:tcPr>
            <w:tcW w:w="2113" w:type="dxa"/>
            <w:tcBorders>
              <w:top w:val="single" w:sz="4" w:space="0" w:color="auto"/>
              <w:bottom w:val="single" w:sz="4" w:space="0" w:color="auto"/>
            </w:tcBorders>
            <w:shd w:val="clear" w:color="auto" w:fill="FFFF99"/>
            <w:vAlign w:val="center"/>
          </w:tcPr>
          <w:p w:rsidR="004D7167" w:rsidRDefault="004D7167" w:rsidP="007C195E">
            <w:pPr>
              <w:spacing w:before="0"/>
              <w:jc w:val="center"/>
              <w:rPr>
                <w:rFonts w:cs="Arial"/>
                <w:szCs w:val="24"/>
              </w:rPr>
            </w:pPr>
            <w:r>
              <w:rPr>
                <w:rFonts w:cs="Arial"/>
                <w:szCs w:val="24"/>
              </w:rPr>
              <w:t>41</w:t>
            </w:r>
          </w:p>
        </w:tc>
        <w:tc>
          <w:tcPr>
            <w:tcW w:w="1938" w:type="dxa"/>
            <w:tcBorders>
              <w:top w:val="single" w:sz="4" w:space="0" w:color="auto"/>
              <w:bottom w:val="single" w:sz="4" w:space="0" w:color="auto"/>
              <w:right w:val="double" w:sz="4" w:space="0" w:color="auto"/>
            </w:tcBorders>
            <w:shd w:val="clear" w:color="auto" w:fill="FFFF99"/>
            <w:vAlign w:val="center"/>
          </w:tcPr>
          <w:p w:rsidR="004D7167" w:rsidRPr="00014645" w:rsidRDefault="004D7167" w:rsidP="007C195E">
            <w:pPr>
              <w:spacing w:before="0"/>
              <w:jc w:val="center"/>
              <w:rPr>
                <w:rFonts w:cs="Arial"/>
                <w:szCs w:val="24"/>
              </w:rPr>
            </w:pPr>
            <w:r>
              <w:rPr>
                <w:rFonts w:cs="Arial"/>
                <w:szCs w:val="24"/>
              </w:rPr>
              <w:t>29,3</w:t>
            </w:r>
          </w:p>
        </w:tc>
      </w:tr>
      <w:tr w:rsidR="004D7167" w:rsidRPr="00014645" w:rsidTr="00C50D06">
        <w:tc>
          <w:tcPr>
            <w:tcW w:w="1297" w:type="dxa"/>
            <w:vMerge/>
            <w:tcBorders>
              <w:left w:val="double" w:sz="4" w:space="0" w:color="auto"/>
              <w:bottom w:val="double" w:sz="4" w:space="0" w:color="auto"/>
              <w:right w:val="double" w:sz="6" w:space="0" w:color="auto"/>
            </w:tcBorders>
            <w:shd w:val="clear" w:color="auto" w:fill="F9AD6F"/>
          </w:tcPr>
          <w:p w:rsidR="004D7167" w:rsidRPr="00014645" w:rsidRDefault="004D7167" w:rsidP="007C195E">
            <w:pPr>
              <w:spacing w:before="0"/>
              <w:rPr>
                <w:rFonts w:cs="Arial"/>
                <w:szCs w:val="24"/>
              </w:rPr>
            </w:pPr>
          </w:p>
        </w:tc>
        <w:tc>
          <w:tcPr>
            <w:tcW w:w="3940" w:type="dxa"/>
            <w:tcBorders>
              <w:top w:val="single" w:sz="4" w:space="0" w:color="auto"/>
              <w:left w:val="double" w:sz="6" w:space="0" w:color="auto"/>
              <w:bottom w:val="double" w:sz="4" w:space="0" w:color="auto"/>
            </w:tcBorders>
            <w:shd w:val="clear" w:color="auto" w:fill="FDE9D9" w:themeFill="accent6" w:themeFillTint="33"/>
          </w:tcPr>
          <w:p w:rsidR="004D7167" w:rsidRDefault="004D7167" w:rsidP="007C195E">
            <w:pPr>
              <w:spacing w:before="0"/>
              <w:jc w:val="left"/>
              <w:rPr>
                <w:rFonts w:cs="Arial"/>
                <w:szCs w:val="24"/>
              </w:rPr>
            </w:pPr>
            <w:r>
              <w:rPr>
                <w:rFonts w:cs="Arial"/>
                <w:szCs w:val="24"/>
              </w:rPr>
              <w:t>Jiné</w:t>
            </w:r>
          </w:p>
        </w:tc>
        <w:tc>
          <w:tcPr>
            <w:tcW w:w="2113" w:type="dxa"/>
            <w:tcBorders>
              <w:top w:val="single" w:sz="4" w:space="0" w:color="auto"/>
              <w:bottom w:val="double" w:sz="4" w:space="0" w:color="auto"/>
            </w:tcBorders>
            <w:shd w:val="clear" w:color="auto" w:fill="FFFF99"/>
            <w:vAlign w:val="center"/>
          </w:tcPr>
          <w:p w:rsidR="004D7167" w:rsidRDefault="004D7167" w:rsidP="007C195E">
            <w:pPr>
              <w:spacing w:before="0"/>
              <w:jc w:val="center"/>
              <w:rPr>
                <w:rFonts w:cs="Arial"/>
                <w:szCs w:val="24"/>
              </w:rPr>
            </w:pPr>
            <w:r>
              <w:rPr>
                <w:rFonts w:cs="Arial"/>
                <w:szCs w:val="24"/>
              </w:rPr>
              <w:t>23</w:t>
            </w:r>
          </w:p>
        </w:tc>
        <w:tc>
          <w:tcPr>
            <w:tcW w:w="1938" w:type="dxa"/>
            <w:tcBorders>
              <w:top w:val="single" w:sz="4" w:space="0" w:color="auto"/>
              <w:bottom w:val="double" w:sz="4" w:space="0" w:color="auto"/>
              <w:right w:val="double" w:sz="4" w:space="0" w:color="auto"/>
            </w:tcBorders>
            <w:shd w:val="clear" w:color="auto" w:fill="FFFF99"/>
            <w:vAlign w:val="center"/>
          </w:tcPr>
          <w:p w:rsidR="004D7167" w:rsidRPr="00014645" w:rsidRDefault="004D7167" w:rsidP="007C195E">
            <w:pPr>
              <w:spacing w:before="0"/>
              <w:jc w:val="center"/>
              <w:rPr>
                <w:rFonts w:cs="Arial"/>
                <w:szCs w:val="24"/>
              </w:rPr>
            </w:pPr>
            <w:r>
              <w:rPr>
                <w:rFonts w:cs="Arial"/>
                <w:szCs w:val="24"/>
              </w:rPr>
              <w:t>17,7</w:t>
            </w:r>
          </w:p>
        </w:tc>
      </w:tr>
    </w:tbl>
    <w:p w:rsidR="002F3DC3" w:rsidRDefault="002F3DC3" w:rsidP="00C50D06">
      <w:pPr>
        <w:jc w:val="right"/>
      </w:pPr>
      <w:r>
        <w:rPr>
          <w:sz w:val="16"/>
          <w:szCs w:val="16"/>
        </w:rPr>
        <w:t>Tabulka: AUGUR Consulting</w:t>
      </w:r>
    </w:p>
    <w:p w:rsidR="002F3DC3" w:rsidRPr="004D7167" w:rsidRDefault="006D6D07" w:rsidP="00C50D06">
      <w:pPr>
        <w:rPr>
          <w:sz w:val="20"/>
          <w:szCs w:val="20"/>
        </w:rPr>
      </w:pPr>
      <w:r w:rsidRPr="004D7167">
        <w:rPr>
          <w:b/>
          <w:sz w:val="20"/>
          <w:szCs w:val="20"/>
        </w:rPr>
        <w:t xml:space="preserve">Jiné: </w:t>
      </w:r>
      <w:r w:rsidR="009B39E9" w:rsidRPr="004D7167">
        <w:rPr>
          <w:sz w:val="20"/>
          <w:szCs w:val="20"/>
        </w:rPr>
        <w:t>mentální, autismus</w:t>
      </w:r>
      <w:r w:rsidR="004D7167" w:rsidRPr="004D7167">
        <w:rPr>
          <w:sz w:val="20"/>
          <w:szCs w:val="20"/>
        </w:rPr>
        <w:t>, apod.</w:t>
      </w:r>
    </w:p>
    <w:p w:rsidR="006D6D07" w:rsidRDefault="006D6D07" w:rsidP="00C50D06"/>
    <w:p w:rsidR="00C519E5" w:rsidRDefault="00C519E5" w:rsidP="00C50D06">
      <w:r>
        <w:t xml:space="preserve">Z výsledků analýz vyplývá, že tři čtvrtiny respondentů (75,0 %) byly zdravotně postižení, necelá pětina </w:t>
      </w:r>
      <w:r w:rsidR="00A52371">
        <w:t>dotázaných</w:t>
      </w:r>
      <w:r>
        <w:t xml:space="preserve"> </w:t>
      </w:r>
      <w:r w:rsidR="00A52371">
        <w:t xml:space="preserve">(18,4 %) </w:t>
      </w:r>
      <w:r>
        <w:t>pečuje o rodinného příslušníka nebo jinou blízkou osobu se zdravotním postižením</w:t>
      </w:r>
      <w:r w:rsidR="00A52371">
        <w:t xml:space="preserve"> a zbylí respondenti (tj. 6,6 %) označili jinou variantu, převážně se jednalo o zaměstnance v sociálních službách. Situaci do</w:t>
      </w:r>
      <w:r w:rsidR="00331E25">
        <w:t>kumentuje následující graf č. 23</w:t>
      </w:r>
      <w:r w:rsidR="00A52371">
        <w:t>.</w:t>
      </w:r>
    </w:p>
    <w:p w:rsidR="002F3DC3" w:rsidRPr="003D0EA9" w:rsidRDefault="002F3DC3" w:rsidP="00C50D06">
      <w:pPr>
        <w:pStyle w:val="Titulek"/>
        <w:keepNext/>
        <w:rPr>
          <w:b w:val="0"/>
        </w:rPr>
      </w:pPr>
    </w:p>
    <w:p w:rsidR="00331E25" w:rsidRDefault="00331E25" w:rsidP="00C50D06">
      <w:pPr>
        <w:jc w:val="left"/>
      </w:pPr>
    </w:p>
    <w:p w:rsidR="00331E25" w:rsidRDefault="00331E25" w:rsidP="00331E25">
      <w:pPr>
        <w:pStyle w:val="Titulek"/>
        <w:keepNext/>
        <w:jc w:val="left"/>
      </w:pPr>
      <w:bookmarkStart w:id="99" w:name="_Toc367357525"/>
      <w:r>
        <w:t xml:space="preserve">Graf č. </w:t>
      </w:r>
      <w:r w:rsidR="00EE3646">
        <w:fldChar w:fldCharType="begin"/>
      </w:r>
      <w:r w:rsidR="00EE3646">
        <w:instrText xml:space="preserve"> SEQ Graf_č. \* ARABIC </w:instrText>
      </w:r>
      <w:r w:rsidR="00EE3646">
        <w:fldChar w:fldCharType="separate"/>
      </w:r>
      <w:r w:rsidR="00B16210">
        <w:rPr>
          <w:noProof/>
        </w:rPr>
        <w:t>23</w:t>
      </w:r>
      <w:r w:rsidR="00EE3646">
        <w:rPr>
          <w:noProof/>
        </w:rPr>
        <w:fldChar w:fldCharType="end"/>
      </w:r>
      <w:r>
        <w:t xml:space="preserve">: </w:t>
      </w:r>
      <w:r>
        <w:rPr>
          <w:b w:val="0"/>
        </w:rPr>
        <w:t>Vztah k problematice života osob se zdravotním postižením.</w:t>
      </w:r>
      <w:bookmarkEnd w:id="99"/>
    </w:p>
    <w:p w:rsidR="002F3DC3" w:rsidRDefault="0072544D" w:rsidP="00C50D06">
      <w:pPr>
        <w:jc w:val="left"/>
      </w:pPr>
      <w:r w:rsidRPr="00640D8E">
        <w:rPr>
          <w:noProof/>
          <w:lang w:eastAsia="cs-CZ"/>
        </w:rPr>
        <mc:AlternateContent>
          <mc:Choice Requires="wps">
            <w:drawing>
              <wp:anchor distT="0" distB="0" distL="114300" distR="114300" simplePos="0" relativeHeight="251709440" behindDoc="0" locked="0" layoutInCell="1" allowOverlap="1" wp14:anchorId="2CB677EF" wp14:editId="6F23C42B">
                <wp:simplePos x="0" y="0"/>
                <wp:positionH relativeFrom="column">
                  <wp:posOffset>60325</wp:posOffset>
                </wp:positionH>
                <wp:positionV relativeFrom="paragraph">
                  <wp:posOffset>1200268</wp:posOffset>
                </wp:positionV>
                <wp:extent cx="5592445" cy="368935"/>
                <wp:effectExtent l="0" t="0" r="0" b="0"/>
                <wp:wrapNone/>
                <wp:docPr id="5"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8070B8">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92,5 %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34" type="#_x0000_t202" style="position:absolute;margin-left:4.75pt;margin-top:94.5pt;width:440.35pt;height:29.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" filled="f" stroked="f">
                <v:textbox style="mso-fit-shape-to-text:t">
                  <w:txbxContent>
                    <w:p w:rsidR="00D822DB" w:rsidRDefault="00D822DB" w:rsidP="008070B8">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92,5 %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2F3DC3" w:rsidRPr="008E5461">
        <w:rPr>
          <w:noProof/>
          <w:color w:val="FF0000"/>
          <w:lang w:eastAsia="cs-CZ"/>
        </w:rPr>
        <w:drawing>
          <wp:inline distT="0" distB="0" distL="0" distR="0" wp14:anchorId="4A29963D" wp14:editId="38757C4D">
            <wp:extent cx="5752214" cy="1382233"/>
            <wp:effectExtent l="0" t="0" r="20320" b="27940"/>
            <wp:docPr id="17"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F3DC3" w:rsidRPr="008070B8" w:rsidRDefault="002F3DC3" w:rsidP="00C50D06">
      <w:pPr>
        <w:rPr>
          <w:sz w:val="20"/>
          <w:szCs w:val="20"/>
        </w:rPr>
      </w:pPr>
      <w:r w:rsidRPr="003D0EA9">
        <w:rPr>
          <w:b/>
          <w:sz w:val="20"/>
          <w:szCs w:val="20"/>
        </w:rPr>
        <w:t xml:space="preserve">Jiné: </w:t>
      </w:r>
      <w:r w:rsidR="008070B8">
        <w:rPr>
          <w:sz w:val="20"/>
          <w:szCs w:val="20"/>
        </w:rPr>
        <w:t xml:space="preserve">zaměstnanec v sociálních službách, </w:t>
      </w:r>
      <w:r w:rsidR="004D7167">
        <w:rPr>
          <w:sz w:val="20"/>
          <w:szCs w:val="20"/>
        </w:rPr>
        <w:t>babička apod.</w:t>
      </w:r>
    </w:p>
    <w:p w:rsidR="002F3DC3" w:rsidRPr="0072544D" w:rsidRDefault="002F3DC3" w:rsidP="00C50D06">
      <w:pPr>
        <w:rPr>
          <w:b/>
          <w:sz w:val="8"/>
          <w:szCs w:val="20"/>
        </w:rPr>
      </w:pPr>
    </w:p>
    <w:p w:rsidR="00331E25" w:rsidRDefault="00A52371" w:rsidP="0072544D">
      <w:r>
        <w:t>Jak vyp</w:t>
      </w:r>
      <w:r w:rsidR="00331E25">
        <w:t>lývá z následujícího grafu č. 24</w:t>
      </w:r>
      <w:r>
        <w:t xml:space="preserve">, respondenti nebo jejich rodinní příslušníci jsou převážně uživateli Sociálních služeb města Velké Meziříčí: Dům s pečovatelskou službou </w:t>
      </w:r>
      <w:r w:rsidR="00C326EE">
        <w:t xml:space="preserve">- </w:t>
      </w:r>
      <w:r>
        <w:t>ulice Zdeňky Vorlové (25,2 %). Dále pak Sociálních služeb města Velké Meziříčí: Dům s pečovatelkou službou</w:t>
      </w:r>
      <w:r w:rsidR="00C326EE">
        <w:t xml:space="preserve"> - </w:t>
      </w:r>
      <w:r>
        <w:t>ulice Strmá (15,6 %), centra Kociánka (13,6 %) Sociálních služeb města Velké Meziříčí: Pečovatelská služba (10,9 %), Ligy vozíčkářů (10,2 %) a Ústavu sociální péče Křižanov, p. o. (9,5 %). V menší míře se jednalo o uživatele Charitní ošetřovatelské služby Žďár nad Sázavou (5,4 %), Osobní asistence Velké Meziříčí (4,8 %), Střediska rané péče v Třebíči (1,4 %) a ZO Neslyšících a nedoslýchavých Velké Meziříčí (0,7 %).</w:t>
      </w:r>
    </w:p>
    <w:p w:rsidR="0072544D" w:rsidRPr="0072544D" w:rsidRDefault="0072544D" w:rsidP="0072544D">
      <w:pPr>
        <w:rPr>
          <w:b/>
          <w:sz w:val="14"/>
          <w:szCs w:val="20"/>
        </w:rPr>
      </w:pPr>
    </w:p>
    <w:p w:rsidR="00331E25" w:rsidRDefault="00331E25" w:rsidP="00331E25">
      <w:pPr>
        <w:pStyle w:val="Titulek"/>
        <w:keepNext/>
        <w:jc w:val="left"/>
      </w:pPr>
      <w:bookmarkStart w:id="100" w:name="_Toc367357526"/>
      <w:r>
        <w:t xml:space="preserve">Graf č. </w:t>
      </w:r>
      <w:r w:rsidR="00EE3646">
        <w:fldChar w:fldCharType="begin"/>
      </w:r>
      <w:r w:rsidR="00EE3646">
        <w:instrText xml:space="preserve"> SEQ Graf_č. \* ARABIC </w:instrText>
      </w:r>
      <w:r w:rsidR="00EE3646">
        <w:fldChar w:fldCharType="separate"/>
      </w:r>
      <w:r w:rsidR="00B16210">
        <w:rPr>
          <w:noProof/>
        </w:rPr>
        <w:t>24</w:t>
      </w:r>
      <w:r w:rsidR="00EE3646">
        <w:rPr>
          <w:noProof/>
        </w:rPr>
        <w:fldChar w:fldCharType="end"/>
      </w:r>
      <w:r>
        <w:t xml:space="preserve">: </w:t>
      </w:r>
      <w:r>
        <w:rPr>
          <w:b w:val="0"/>
        </w:rPr>
        <w:t>Služby využívané respondentem nebo jeho rodinným příslušníkem.</w:t>
      </w:r>
      <w:bookmarkEnd w:id="100"/>
    </w:p>
    <w:p w:rsidR="006D6D07" w:rsidRDefault="0072544D" w:rsidP="00C50D06">
      <w:pPr>
        <w:jc w:val="left"/>
      </w:pPr>
      <w:r w:rsidRPr="00640D8E">
        <w:rPr>
          <w:noProof/>
          <w:lang w:eastAsia="cs-CZ"/>
        </w:rPr>
        <mc:AlternateContent>
          <mc:Choice Requires="wps">
            <w:drawing>
              <wp:anchor distT="0" distB="0" distL="114300" distR="114300" simplePos="0" relativeHeight="251711488" behindDoc="0" locked="0" layoutInCell="1" allowOverlap="1" wp14:anchorId="0E2E5D28" wp14:editId="23B89070">
                <wp:simplePos x="0" y="0"/>
                <wp:positionH relativeFrom="column">
                  <wp:posOffset>53340</wp:posOffset>
                </wp:positionH>
                <wp:positionV relativeFrom="paragraph">
                  <wp:posOffset>4112556</wp:posOffset>
                </wp:positionV>
                <wp:extent cx="5592445" cy="368935"/>
                <wp:effectExtent l="0" t="0" r="0" b="0"/>
                <wp:wrapNone/>
                <wp:docPr id="7"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4D7167">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83,0 %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35" type="#_x0000_t202" style="position:absolute;margin-left:4.2pt;margin-top:323.8pt;width:440.35pt;height:29.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" filled="f" stroked="f">
                <v:textbox style="mso-fit-shape-to-text:t">
                  <w:txbxContent>
                    <w:p w:rsidR="00D822DB" w:rsidRDefault="00D822DB" w:rsidP="004D7167">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83,0 %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6D6D07" w:rsidRPr="00792D89">
        <w:rPr>
          <w:noProof/>
          <w:color w:val="FF0000"/>
          <w:lang w:eastAsia="cs-CZ"/>
        </w:rPr>
        <w:drawing>
          <wp:inline distT="0" distB="0" distL="0" distR="0" wp14:anchorId="7A89E868" wp14:editId="17A5E82D">
            <wp:extent cx="5730949" cy="4306186"/>
            <wp:effectExtent l="0" t="0" r="22225" b="18415"/>
            <wp:docPr id="22"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D6D07" w:rsidRDefault="006D6D07" w:rsidP="00C50D06">
      <w:pPr>
        <w:jc w:val="left"/>
        <w:rPr>
          <w:b/>
          <w:sz w:val="20"/>
        </w:rPr>
      </w:pPr>
      <w:r w:rsidRPr="000D52D1">
        <w:rPr>
          <w:b/>
          <w:sz w:val="20"/>
        </w:rPr>
        <w:t xml:space="preserve">Jiné služby: </w:t>
      </w:r>
      <w:r w:rsidR="004D7167" w:rsidRPr="004D7167">
        <w:rPr>
          <w:sz w:val="20"/>
        </w:rPr>
        <w:t>Klub v 9 Žďár nad Sázavou,</w:t>
      </w:r>
      <w:r w:rsidR="004D7167">
        <w:rPr>
          <w:b/>
          <w:sz w:val="20"/>
        </w:rPr>
        <w:t xml:space="preserve"> „</w:t>
      </w:r>
      <w:r w:rsidR="00331E25">
        <w:rPr>
          <w:sz w:val="20"/>
        </w:rPr>
        <w:t>Nes</w:t>
      </w:r>
      <w:r w:rsidR="004D7167">
        <w:rPr>
          <w:sz w:val="20"/>
        </w:rPr>
        <w:t>a“ denní stacionář Velké Meziříčí, centrum Kopretina Velké Meziříčí, DS Žďár nad Sázavou.</w:t>
      </w:r>
    </w:p>
    <w:p w:rsidR="00A52371" w:rsidRPr="0072544D" w:rsidRDefault="00A52371" w:rsidP="0072544D">
      <w:r>
        <w:t>Současně respondenti měli možnost vyjádřit svou spokojenost s využívanou službou či službami. Míru spokojenosti mohli vyjádřit na ordinální škále od 1 – „služba je nejlepší“ do 5 – „služba je nejhor</w:t>
      </w:r>
      <w:r w:rsidR="00331E25">
        <w:t>ší“. V následující tabulce č. 3</w:t>
      </w:r>
      <w:r w:rsidR="00594151">
        <w:t>3</w:t>
      </w:r>
      <w:r>
        <w:t xml:space="preserve"> jsou služby využívané respondenty seřazeny podle průměrné hodnoty spokojenosti. Čím více se hodnoty blíží číslu 1, tím více jsou respondenti se službou spokojeni. </w:t>
      </w:r>
      <w:r w:rsidR="00731F84" w:rsidRPr="00C326EE">
        <w:rPr>
          <w:b/>
        </w:rPr>
        <w:t>Všechny služby vykazují excelentní hodnocení</w:t>
      </w:r>
      <w:r w:rsidR="00C326EE">
        <w:rPr>
          <w:b/>
        </w:rPr>
        <w:t xml:space="preserve"> od uživatelů</w:t>
      </w:r>
      <w:r w:rsidR="00731F84" w:rsidRPr="00C326EE">
        <w:rPr>
          <w:b/>
        </w:rPr>
        <w:t>.</w:t>
      </w:r>
      <w:r w:rsidR="00731F84">
        <w:t xml:space="preserve"> U služeb, které hodnotil nízký počet respondentů, může však být hodnocení </w:t>
      </w:r>
      <w:r w:rsidR="00C326EE">
        <w:t xml:space="preserve">dílčím způsobem </w:t>
      </w:r>
      <w:r w:rsidR="00731F84">
        <w:t>zavádějící.</w:t>
      </w:r>
    </w:p>
    <w:p w:rsidR="00731F84" w:rsidRDefault="00731F84">
      <w:pPr>
        <w:spacing w:before="0" w:after="200" w:line="276" w:lineRule="auto"/>
        <w:jc w:val="left"/>
        <w:rPr>
          <w:b/>
          <w:bCs/>
          <w:color w:val="0D0D0D" w:themeColor="text1" w:themeTint="F2"/>
          <w:sz w:val="20"/>
          <w:szCs w:val="18"/>
        </w:rPr>
      </w:pPr>
    </w:p>
    <w:p w:rsidR="00331E25" w:rsidRDefault="00331E25" w:rsidP="00331E25">
      <w:pPr>
        <w:pStyle w:val="Titulek"/>
        <w:keepNext/>
      </w:pPr>
      <w:bookmarkStart w:id="101" w:name="_Toc367794877"/>
      <w:r>
        <w:t xml:space="preserve">Tabulka č. </w:t>
      </w:r>
      <w:r w:rsidR="00EE3646">
        <w:fldChar w:fldCharType="begin"/>
      </w:r>
      <w:r w:rsidR="00EE3646">
        <w:instrText xml:space="preserve"> SEQ Tabulka_č. \* ARABIC </w:instrText>
      </w:r>
      <w:r w:rsidR="00EE3646">
        <w:fldChar w:fldCharType="separate"/>
      </w:r>
      <w:r w:rsidR="00594151">
        <w:rPr>
          <w:noProof/>
        </w:rPr>
        <w:t>33</w:t>
      </w:r>
      <w:r w:rsidR="00EE3646">
        <w:rPr>
          <w:noProof/>
        </w:rPr>
        <w:fldChar w:fldCharType="end"/>
      </w:r>
      <w:r>
        <w:t xml:space="preserve">: </w:t>
      </w:r>
      <w:r>
        <w:rPr>
          <w:b w:val="0"/>
        </w:rPr>
        <w:t>Průměrná hodnota spokojenosti s využívanými sociálními službami.</w:t>
      </w:r>
      <w:bookmarkEnd w:id="101"/>
    </w:p>
    <w:tbl>
      <w:tblPr>
        <w:tblW w:w="91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740"/>
        <w:gridCol w:w="3419"/>
      </w:tblGrid>
      <w:tr w:rsidR="006D6D07" w:rsidRPr="00656554" w:rsidTr="00740AD2">
        <w:trPr>
          <w:trHeight w:val="688"/>
        </w:trPr>
        <w:tc>
          <w:tcPr>
            <w:tcW w:w="5740" w:type="dxa"/>
            <w:tcBorders>
              <w:top w:val="double" w:sz="4" w:space="0" w:color="auto"/>
              <w:left w:val="double" w:sz="4" w:space="0" w:color="auto"/>
              <w:bottom w:val="double" w:sz="4" w:space="0" w:color="auto"/>
              <w:right w:val="single" w:sz="6" w:space="0" w:color="auto"/>
            </w:tcBorders>
            <w:shd w:val="clear" w:color="auto" w:fill="FFCC66"/>
            <w:vAlign w:val="center"/>
          </w:tcPr>
          <w:p w:rsidR="006D6D07" w:rsidRPr="00656554" w:rsidRDefault="006D6D07" w:rsidP="00C50D06">
            <w:pPr>
              <w:spacing w:before="60"/>
              <w:jc w:val="center"/>
              <w:rPr>
                <w:rFonts w:eastAsia="Calibri" w:cs="Arial"/>
                <w:b/>
                <w:szCs w:val="24"/>
              </w:rPr>
            </w:pPr>
            <w:r>
              <w:rPr>
                <w:rFonts w:cs="Arial"/>
                <w:b/>
                <w:szCs w:val="24"/>
              </w:rPr>
              <w:t>HODNOCENÉ SLUŽBY</w:t>
            </w:r>
          </w:p>
        </w:tc>
        <w:tc>
          <w:tcPr>
            <w:tcW w:w="3419" w:type="dxa"/>
            <w:tcBorders>
              <w:top w:val="double" w:sz="4" w:space="0" w:color="auto"/>
              <w:left w:val="single" w:sz="6" w:space="0" w:color="auto"/>
              <w:bottom w:val="double" w:sz="4" w:space="0" w:color="auto"/>
              <w:right w:val="double" w:sz="4" w:space="0" w:color="auto"/>
            </w:tcBorders>
            <w:shd w:val="clear" w:color="auto" w:fill="FFCC66"/>
          </w:tcPr>
          <w:p w:rsidR="006D6D07" w:rsidRDefault="006D6D07" w:rsidP="00C50D06">
            <w:pPr>
              <w:spacing w:before="60"/>
              <w:jc w:val="center"/>
              <w:rPr>
                <w:rFonts w:cs="Arial"/>
                <w:b/>
                <w:szCs w:val="24"/>
              </w:rPr>
            </w:pPr>
            <w:r>
              <w:rPr>
                <w:rFonts w:cs="Arial"/>
                <w:b/>
                <w:szCs w:val="24"/>
              </w:rPr>
              <w:t>PRŮMĚRNÁ HODNOTA SPOKOJENOSTI</w:t>
            </w:r>
          </w:p>
          <w:p w:rsidR="006D6D07" w:rsidRPr="005131C2" w:rsidRDefault="006D6D07" w:rsidP="00C50D06">
            <w:pPr>
              <w:spacing w:before="60"/>
              <w:jc w:val="center"/>
              <w:rPr>
                <w:rFonts w:cs="Arial"/>
                <w:sz w:val="18"/>
                <w:szCs w:val="18"/>
              </w:rPr>
            </w:pPr>
            <w:r w:rsidRPr="005131C2">
              <w:rPr>
                <w:rFonts w:cs="Arial"/>
                <w:sz w:val="18"/>
                <w:szCs w:val="18"/>
              </w:rPr>
              <w:t>Čím více se hodnoty v</w:t>
            </w:r>
            <w:r>
              <w:rPr>
                <w:rFonts w:cs="Arial"/>
                <w:sz w:val="18"/>
                <w:szCs w:val="18"/>
              </w:rPr>
              <w:t> </w:t>
            </w:r>
            <w:r w:rsidRPr="005131C2">
              <w:rPr>
                <w:rFonts w:cs="Arial"/>
                <w:sz w:val="18"/>
                <w:szCs w:val="18"/>
              </w:rPr>
              <w:t>tabulce</w:t>
            </w:r>
            <w:r>
              <w:rPr>
                <w:rFonts w:cs="Arial"/>
                <w:sz w:val="18"/>
                <w:szCs w:val="18"/>
              </w:rPr>
              <w:t xml:space="preserve"> </w:t>
            </w:r>
            <w:r w:rsidRPr="005131C2">
              <w:rPr>
                <w:rFonts w:cs="Arial"/>
                <w:sz w:val="18"/>
                <w:szCs w:val="18"/>
              </w:rPr>
              <w:t xml:space="preserve">blíží hodnotě „1“, tím </w:t>
            </w:r>
            <w:r>
              <w:rPr>
                <w:rFonts w:cs="Arial"/>
                <w:sz w:val="18"/>
                <w:szCs w:val="18"/>
              </w:rPr>
              <w:t>více jsou respondenti se službou spokojeni.</w:t>
            </w:r>
          </w:p>
        </w:tc>
      </w:tr>
      <w:tr w:rsidR="00B60002" w:rsidRPr="005D43D7" w:rsidTr="00740AD2">
        <w:trPr>
          <w:trHeight w:val="317"/>
        </w:trPr>
        <w:tc>
          <w:tcPr>
            <w:tcW w:w="5740" w:type="dxa"/>
            <w:tcBorders>
              <w:top w:val="single" w:sz="6" w:space="0" w:color="auto"/>
              <w:left w:val="double" w:sz="4" w:space="0" w:color="auto"/>
              <w:bottom w:val="single" w:sz="4" w:space="0" w:color="auto"/>
              <w:right w:val="single" w:sz="6" w:space="0" w:color="auto"/>
            </w:tcBorders>
            <w:shd w:val="clear" w:color="auto" w:fill="CCFF99"/>
            <w:vAlign w:val="center"/>
          </w:tcPr>
          <w:p w:rsidR="00B60002" w:rsidRPr="00EF48C0" w:rsidRDefault="00B60002" w:rsidP="00DD261D">
            <w:pPr>
              <w:spacing w:before="60"/>
              <w:jc w:val="left"/>
              <w:rPr>
                <w:rFonts w:eastAsia="Calibri" w:cs="Arial"/>
                <w:sz w:val="22"/>
                <w:szCs w:val="24"/>
              </w:rPr>
            </w:pPr>
            <w:r w:rsidRPr="00EF48C0">
              <w:rPr>
                <w:rFonts w:cs="Arial"/>
                <w:color w:val="000000"/>
                <w:sz w:val="22"/>
              </w:rPr>
              <w:t>Středisko rané péče Třebíč</w:t>
            </w:r>
          </w:p>
        </w:tc>
        <w:tc>
          <w:tcPr>
            <w:tcW w:w="3419" w:type="dxa"/>
            <w:tcBorders>
              <w:top w:val="single" w:sz="6" w:space="0" w:color="auto"/>
              <w:left w:val="single" w:sz="6" w:space="0" w:color="auto"/>
              <w:bottom w:val="single" w:sz="4" w:space="0" w:color="auto"/>
              <w:right w:val="double" w:sz="4" w:space="0" w:color="auto"/>
            </w:tcBorders>
            <w:shd w:val="clear" w:color="auto" w:fill="FFFFCC"/>
            <w:vAlign w:val="center"/>
          </w:tcPr>
          <w:p w:rsidR="00B60002" w:rsidRPr="005D43D7" w:rsidRDefault="00740AD2" w:rsidP="00DD261D">
            <w:pPr>
              <w:spacing w:before="60"/>
              <w:jc w:val="center"/>
              <w:rPr>
                <w:rFonts w:eastAsia="Calibri" w:cs="Arial"/>
                <w:sz w:val="22"/>
                <w:szCs w:val="24"/>
              </w:rPr>
            </w:pPr>
            <w:r>
              <w:rPr>
                <w:rFonts w:eastAsia="Calibri" w:cs="Arial"/>
                <w:sz w:val="22"/>
                <w:szCs w:val="24"/>
              </w:rPr>
              <w:t>1,00</w:t>
            </w:r>
          </w:p>
        </w:tc>
      </w:tr>
      <w:tr w:rsidR="00740AD2" w:rsidRPr="00656554" w:rsidTr="00740AD2">
        <w:trPr>
          <w:trHeight w:val="301"/>
        </w:trPr>
        <w:tc>
          <w:tcPr>
            <w:tcW w:w="5740" w:type="dxa"/>
            <w:tcBorders>
              <w:top w:val="single" w:sz="4" w:space="0" w:color="auto"/>
              <w:left w:val="double" w:sz="4" w:space="0" w:color="auto"/>
              <w:bottom w:val="single" w:sz="4" w:space="0" w:color="auto"/>
              <w:right w:val="single" w:sz="6" w:space="0" w:color="auto"/>
            </w:tcBorders>
            <w:shd w:val="clear" w:color="auto" w:fill="CCFF99"/>
            <w:vAlign w:val="bottom"/>
          </w:tcPr>
          <w:p w:rsidR="00740AD2" w:rsidRPr="00EF48C0" w:rsidRDefault="00740AD2" w:rsidP="006F2808">
            <w:pPr>
              <w:rPr>
                <w:rFonts w:cs="Arial"/>
                <w:color w:val="000000"/>
                <w:sz w:val="22"/>
              </w:rPr>
            </w:pPr>
            <w:r w:rsidRPr="00EF48C0">
              <w:rPr>
                <w:rFonts w:cs="Arial"/>
                <w:color w:val="000000"/>
                <w:sz w:val="22"/>
              </w:rPr>
              <w:t>Charitní ošetřovatelská služba Žďár nad Sázavou</w:t>
            </w:r>
          </w:p>
        </w:tc>
        <w:tc>
          <w:tcPr>
            <w:tcW w:w="3419" w:type="dxa"/>
            <w:tcBorders>
              <w:top w:val="single" w:sz="4" w:space="0" w:color="auto"/>
              <w:left w:val="single" w:sz="6" w:space="0" w:color="auto"/>
              <w:bottom w:val="single" w:sz="4" w:space="0" w:color="auto"/>
              <w:right w:val="double" w:sz="4" w:space="0" w:color="auto"/>
            </w:tcBorders>
            <w:shd w:val="clear" w:color="auto" w:fill="FFFFCC"/>
            <w:vAlign w:val="center"/>
          </w:tcPr>
          <w:p w:rsidR="00740AD2" w:rsidRPr="00B60002" w:rsidRDefault="00740AD2" w:rsidP="006F2808">
            <w:pPr>
              <w:spacing w:before="60"/>
              <w:jc w:val="center"/>
              <w:rPr>
                <w:rFonts w:eastAsia="Calibri" w:cs="Arial"/>
                <w:sz w:val="22"/>
                <w:szCs w:val="24"/>
              </w:rPr>
            </w:pPr>
            <w:r>
              <w:rPr>
                <w:rFonts w:eastAsia="Calibri" w:cs="Arial"/>
                <w:sz w:val="22"/>
                <w:szCs w:val="24"/>
              </w:rPr>
              <w:t>1,00</w:t>
            </w:r>
          </w:p>
        </w:tc>
      </w:tr>
      <w:tr w:rsidR="00740AD2" w:rsidRPr="00656554" w:rsidTr="00740AD2">
        <w:trPr>
          <w:trHeight w:val="301"/>
        </w:trPr>
        <w:tc>
          <w:tcPr>
            <w:tcW w:w="5740" w:type="dxa"/>
            <w:tcBorders>
              <w:top w:val="single" w:sz="4" w:space="0" w:color="auto"/>
              <w:left w:val="double" w:sz="4" w:space="0" w:color="auto"/>
              <w:bottom w:val="single" w:sz="4" w:space="0" w:color="auto"/>
              <w:right w:val="single" w:sz="6" w:space="0" w:color="auto"/>
            </w:tcBorders>
            <w:shd w:val="clear" w:color="auto" w:fill="CCFF99"/>
            <w:vAlign w:val="bottom"/>
          </w:tcPr>
          <w:p w:rsidR="00740AD2" w:rsidRPr="00EF48C0" w:rsidRDefault="00740AD2" w:rsidP="006F2808">
            <w:pPr>
              <w:rPr>
                <w:rFonts w:cs="Arial"/>
                <w:color w:val="000000"/>
                <w:sz w:val="22"/>
              </w:rPr>
            </w:pPr>
            <w:r w:rsidRPr="00EF48C0">
              <w:rPr>
                <w:rFonts w:cs="Arial"/>
                <w:color w:val="000000"/>
                <w:sz w:val="22"/>
              </w:rPr>
              <w:t>Osobní asistence Velké Meziříčí</w:t>
            </w:r>
          </w:p>
        </w:tc>
        <w:tc>
          <w:tcPr>
            <w:tcW w:w="3419" w:type="dxa"/>
            <w:tcBorders>
              <w:top w:val="single" w:sz="4" w:space="0" w:color="auto"/>
              <w:left w:val="single" w:sz="6" w:space="0" w:color="auto"/>
              <w:bottom w:val="single" w:sz="4" w:space="0" w:color="auto"/>
              <w:right w:val="double" w:sz="4" w:space="0" w:color="auto"/>
            </w:tcBorders>
            <w:shd w:val="clear" w:color="auto" w:fill="FFFFCC"/>
            <w:vAlign w:val="center"/>
          </w:tcPr>
          <w:p w:rsidR="00740AD2" w:rsidRPr="00B60002" w:rsidRDefault="00740AD2" w:rsidP="006F2808">
            <w:pPr>
              <w:spacing w:before="60"/>
              <w:jc w:val="center"/>
              <w:rPr>
                <w:rFonts w:eastAsia="Calibri" w:cs="Arial"/>
                <w:sz w:val="22"/>
                <w:szCs w:val="24"/>
              </w:rPr>
            </w:pPr>
            <w:r>
              <w:rPr>
                <w:rFonts w:eastAsia="Calibri" w:cs="Arial"/>
                <w:sz w:val="22"/>
                <w:szCs w:val="24"/>
              </w:rPr>
              <w:t>1,00</w:t>
            </w:r>
          </w:p>
        </w:tc>
      </w:tr>
      <w:tr w:rsidR="00740AD2" w:rsidRPr="00656554" w:rsidTr="00740AD2">
        <w:trPr>
          <w:trHeight w:val="301"/>
        </w:trPr>
        <w:tc>
          <w:tcPr>
            <w:tcW w:w="5740" w:type="dxa"/>
            <w:tcBorders>
              <w:top w:val="single" w:sz="4" w:space="0" w:color="auto"/>
              <w:left w:val="double" w:sz="4" w:space="0" w:color="auto"/>
              <w:bottom w:val="single" w:sz="4" w:space="0" w:color="auto"/>
              <w:right w:val="single" w:sz="6" w:space="0" w:color="auto"/>
            </w:tcBorders>
            <w:shd w:val="clear" w:color="auto" w:fill="CCFF99"/>
            <w:vAlign w:val="bottom"/>
          </w:tcPr>
          <w:p w:rsidR="00740AD2" w:rsidRPr="00EF48C0" w:rsidRDefault="00740AD2" w:rsidP="006F2808">
            <w:pPr>
              <w:rPr>
                <w:rFonts w:cs="Arial"/>
                <w:color w:val="000000"/>
                <w:sz w:val="22"/>
              </w:rPr>
            </w:pPr>
            <w:r w:rsidRPr="00EF48C0">
              <w:rPr>
                <w:rFonts w:cs="Arial"/>
                <w:color w:val="000000"/>
                <w:sz w:val="22"/>
              </w:rPr>
              <w:t>Domácí hospicová péče Oblastní charita Žďár nad Sázavou</w:t>
            </w:r>
          </w:p>
        </w:tc>
        <w:tc>
          <w:tcPr>
            <w:tcW w:w="3419" w:type="dxa"/>
            <w:tcBorders>
              <w:top w:val="single" w:sz="4" w:space="0" w:color="auto"/>
              <w:left w:val="single" w:sz="6" w:space="0" w:color="auto"/>
              <w:bottom w:val="single" w:sz="4" w:space="0" w:color="auto"/>
              <w:right w:val="double" w:sz="4" w:space="0" w:color="auto"/>
            </w:tcBorders>
            <w:shd w:val="clear" w:color="auto" w:fill="FFFFCC"/>
            <w:vAlign w:val="center"/>
          </w:tcPr>
          <w:p w:rsidR="00740AD2" w:rsidRPr="005D43D7" w:rsidRDefault="00740AD2" w:rsidP="006F2808">
            <w:pPr>
              <w:spacing w:before="60"/>
              <w:jc w:val="center"/>
              <w:rPr>
                <w:rFonts w:eastAsia="Calibri" w:cs="Arial"/>
                <w:sz w:val="22"/>
                <w:szCs w:val="24"/>
              </w:rPr>
            </w:pPr>
            <w:r>
              <w:rPr>
                <w:rFonts w:eastAsia="Calibri" w:cs="Arial"/>
                <w:sz w:val="22"/>
                <w:szCs w:val="24"/>
              </w:rPr>
              <w:t>1,00</w:t>
            </w:r>
          </w:p>
        </w:tc>
      </w:tr>
      <w:tr w:rsidR="00B60002" w:rsidRPr="00656554" w:rsidTr="00740AD2">
        <w:trPr>
          <w:trHeight w:val="301"/>
        </w:trPr>
        <w:tc>
          <w:tcPr>
            <w:tcW w:w="5740" w:type="dxa"/>
            <w:tcBorders>
              <w:top w:val="single" w:sz="4" w:space="0" w:color="auto"/>
              <w:left w:val="double" w:sz="4" w:space="0" w:color="auto"/>
              <w:bottom w:val="single" w:sz="4" w:space="0" w:color="auto"/>
              <w:right w:val="single" w:sz="6" w:space="0" w:color="auto"/>
            </w:tcBorders>
            <w:shd w:val="clear" w:color="auto" w:fill="CCFF99"/>
            <w:vAlign w:val="bottom"/>
          </w:tcPr>
          <w:p w:rsidR="00B60002" w:rsidRPr="00EF48C0" w:rsidRDefault="00B60002" w:rsidP="00DD261D">
            <w:pPr>
              <w:rPr>
                <w:rFonts w:cs="Arial"/>
                <w:color w:val="000000"/>
                <w:sz w:val="22"/>
              </w:rPr>
            </w:pPr>
            <w:r w:rsidRPr="00EF48C0">
              <w:rPr>
                <w:rFonts w:cs="Arial"/>
                <w:color w:val="000000"/>
                <w:sz w:val="22"/>
              </w:rPr>
              <w:t>Ústav sociální péče Křižanov, příspěvková organizace</w:t>
            </w:r>
          </w:p>
        </w:tc>
        <w:tc>
          <w:tcPr>
            <w:tcW w:w="3419" w:type="dxa"/>
            <w:tcBorders>
              <w:top w:val="single" w:sz="4" w:space="0" w:color="auto"/>
              <w:left w:val="single" w:sz="6" w:space="0" w:color="auto"/>
              <w:bottom w:val="single" w:sz="4" w:space="0" w:color="auto"/>
              <w:right w:val="double" w:sz="4" w:space="0" w:color="auto"/>
            </w:tcBorders>
            <w:shd w:val="clear" w:color="auto" w:fill="FFFFCC"/>
            <w:vAlign w:val="center"/>
          </w:tcPr>
          <w:p w:rsidR="00B60002" w:rsidRPr="005D43D7" w:rsidRDefault="00740AD2" w:rsidP="00DD261D">
            <w:pPr>
              <w:spacing w:before="60"/>
              <w:jc w:val="center"/>
              <w:rPr>
                <w:rFonts w:eastAsia="Calibri" w:cs="Arial"/>
                <w:sz w:val="22"/>
                <w:szCs w:val="24"/>
              </w:rPr>
            </w:pPr>
            <w:r>
              <w:rPr>
                <w:rFonts w:eastAsia="Calibri" w:cs="Arial"/>
                <w:sz w:val="22"/>
                <w:szCs w:val="24"/>
              </w:rPr>
              <w:t>1,07</w:t>
            </w:r>
          </w:p>
        </w:tc>
      </w:tr>
      <w:tr w:rsidR="00B60002" w:rsidRPr="00656554" w:rsidTr="00740AD2">
        <w:trPr>
          <w:trHeight w:val="301"/>
        </w:trPr>
        <w:tc>
          <w:tcPr>
            <w:tcW w:w="5740" w:type="dxa"/>
            <w:tcBorders>
              <w:top w:val="single" w:sz="4" w:space="0" w:color="auto"/>
              <w:left w:val="double" w:sz="4" w:space="0" w:color="auto"/>
              <w:bottom w:val="single" w:sz="4" w:space="0" w:color="auto"/>
              <w:right w:val="single" w:sz="6" w:space="0" w:color="auto"/>
            </w:tcBorders>
            <w:shd w:val="clear" w:color="auto" w:fill="CCFF99"/>
            <w:vAlign w:val="bottom"/>
          </w:tcPr>
          <w:p w:rsidR="00B60002" w:rsidRPr="00EF48C0" w:rsidRDefault="00B60002" w:rsidP="00DD261D">
            <w:pPr>
              <w:rPr>
                <w:rFonts w:cs="Arial"/>
                <w:color w:val="000000"/>
                <w:sz w:val="22"/>
              </w:rPr>
            </w:pPr>
            <w:r w:rsidRPr="00EF48C0">
              <w:rPr>
                <w:rFonts w:cs="Arial"/>
                <w:color w:val="000000"/>
                <w:sz w:val="22"/>
              </w:rPr>
              <w:t>Sociální služby města Velké Meziříčí: Dům s pečovatelskou službou (ulice Zdenky Vorlové)</w:t>
            </w:r>
          </w:p>
        </w:tc>
        <w:tc>
          <w:tcPr>
            <w:tcW w:w="3419" w:type="dxa"/>
            <w:tcBorders>
              <w:top w:val="single" w:sz="4" w:space="0" w:color="auto"/>
              <w:left w:val="single" w:sz="6" w:space="0" w:color="auto"/>
              <w:bottom w:val="single" w:sz="4" w:space="0" w:color="auto"/>
              <w:right w:val="double" w:sz="4" w:space="0" w:color="auto"/>
            </w:tcBorders>
            <w:shd w:val="clear" w:color="auto" w:fill="FFFFCC"/>
            <w:vAlign w:val="center"/>
          </w:tcPr>
          <w:p w:rsidR="00B60002" w:rsidRPr="00B60002" w:rsidRDefault="00740AD2" w:rsidP="00DD261D">
            <w:pPr>
              <w:spacing w:before="60"/>
              <w:jc w:val="center"/>
              <w:rPr>
                <w:rFonts w:eastAsia="Calibri" w:cs="Arial"/>
                <w:sz w:val="22"/>
                <w:szCs w:val="24"/>
              </w:rPr>
            </w:pPr>
            <w:r>
              <w:rPr>
                <w:rFonts w:eastAsia="Calibri" w:cs="Arial"/>
                <w:sz w:val="22"/>
                <w:szCs w:val="24"/>
              </w:rPr>
              <w:t>1,28</w:t>
            </w:r>
          </w:p>
        </w:tc>
      </w:tr>
      <w:tr w:rsidR="00B60002" w:rsidRPr="00656554" w:rsidTr="00740AD2">
        <w:trPr>
          <w:trHeight w:val="332"/>
        </w:trPr>
        <w:tc>
          <w:tcPr>
            <w:tcW w:w="5740" w:type="dxa"/>
            <w:tcBorders>
              <w:top w:val="single" w:sz="4" w:space="0" w:color="auto"/>
              <w:left w:val="double" w:sz="4" w:space="0" w:color="auto"/>
              <w:bottom w:val="single" w:sz="6" w:space="0" w:color="auto"/>
              <w:right w:val="single" w:sz="6" w:space="0" w:color="auto"/>
            </w:tcBorders>
            <w:shd w:val="clear" w:color="auto" w:fill="CCFF99"/>
            <w:vAlign w:val="bottom"/>
          </w:tcPr>
          <w:p w:rsidR="00B60002" w:rsidRPr="00EF48C0" w:rsidRDefault="00B60002" w:rsidP="00DD261D">
            <w:pPr>
              <w:rPr>
                <w:rFonts w:cs="Arial"/>
                <w:color w:val="000000"/>
                <w:sz w:val="22"/>
              </w:rPr>
            </w:pPr>
            <w:r w:rsidRPr="00EF48C0">
              <w:rPr>
                <w:rFonts w:cs="Arial"/>
                <w:color w:val="000000"/>
                <w:sz w:val="22"/>
              </w:rPr>
              <w:t>Sociální služby města Velké Meziříčí: Pečovatelská služba</w:t>
            </w:r>
          </w:p>
        </w:tc>
        <w:tc>
          <w:tcPr>
            <w:tcW w:w="3419" w:type="dxa"/>
            <w:tcBorders>
              <w:top w:val="single" w:sz="4" w:space="0" w:color="auto"/>
              <w:left w:val="single" w:sz="6" w:space="0" w:color="auto"/>
              <w:bottom w:val="single" w:sz="6" w:space="0" w:color="auto"/>
              <w:right w:val="double" w:sz="4" w:space="0" w:color="auto"/>
            </w:tcBorders>
            <w:shd w:val="clear" w:color="auto" w:fill="FFFFCC"/>
            <w:vAlign w:val="center"/>
          </w:tcPr>
          <w:p w:rsidR="00B60002" w:rsidRPr="00B60002" w:rsidRDefault="00740AD2" w:rsidP="00DD261D">
            <w:pPr>
              <w:spacing w:before="60"/>
              <w:jc w:val="center"/>
              <w:rPr>
                <w:rFonts w:eastAsia="Calibri" w:cs="Arial"/>
                <w:sz w:val="22"/>
                <w:szCs w:val="24"/>
              </w:rPr>
            </w:pPr>
            <w:r>
              <w:rPr>
                <w:rFonts w:eastAsia="Calibri" w:cs="Arial"/>
                <w:sz w:val="22"/>
                <w:szCs w:val="24"/>
              </w:rPr>
              <w:t>1,38</w:t>
            </w:r>
          </w:p>
        </w:tc>
      </w:tr>
      <w:tr w:rsidR="00B60002" w:rsidRPr="00656554" w:rsidTr="00740AD2">
        <w:trPr>
          <w:trHeight w:val="317"/>
        </w:trPr>
        <w:tc>
          <w:tcPr>
            <w:tcW w:w="5740" w:type="dxa"/>
            <w:tcBorders>
              <w:top w:val="single" w:sz="6" w:space="0" w:color="auto"/>
              <w:left w:val="double" w:sz="4" w:space="0" w:color="auto"/>
              <w:bottom w:val="single" w:sz="6" w:space="0" w:color="auto"/>
              <w:right w:val="single" w:sz="6" w:space="0" w:color="auto"/>
            </w:tcBorders>
            <w:shd w:val="clear" w:color="auto" w:fill="CCFF99"/>
            <w:vAlign w:val="bottom"/>
          </w:tcPr>
          <w:p w:rsidR="00B60002" w:rsidRPr="00EF48C0" w:rsidRDefault="00B60002" w:rsidP="00DD261D">
            <w:pPr>
              <w:rPr>
                <w:rFonts w:cs="Arial"/>
                <w:color w:val="000000"/>
                <w:sz w:val="22"/>
              </w:rPr>
            </w:pPr>
            <w:r w:rsidRPr="00EF48C0">
              <w:rPr>
                <w:rFonts w:cs="Arial"/>
                <w:color w:val="000000"/>
                <w:sz w:val="22"/>
              </w:rPr>
              <w:t>Centrum Kociánka</w:t>
            </w:r>
          </w:p>
        </w:tc>
        <w:tc>
          <w:tcPr>
            <w:tcW w:w="3419" w:type="dxa"/>
            <w:tcBorders>
              <w:top w:val="single" w:sz="6" w:space="0" w:color="auto"/>
              <w:left w:val="single" w:sz="6" w:space="0" w:color="auto"/>
              <w:bottom w:val="single" w:sz="6" w:space="0" w:color="auto"/>
              <w:right w:val="double" w:sz="4" w:space="0" w:color="auto"/>
            </w:tcBorders>
            <w:shd w:val="clear" w:color="auto" w:fill="FFFFCC"/>
            <w:vAlign w:val="center"/>
          </w:tcPr>
          <w:p w:rsidR="00B60002" w:rsidRPr="005D43D7" w:rsidRDefault="00740AD2" w:rsidP="00DD261D">
            <w:pPr>
              <w:spacing w:before="60"/>
              <w:jc w:val="center"/>
              <w:rPr>
                <w:rFonts w:eastAsia="Calibri" w:cs="Arial"/>
                <w:sz w:val="22"/>
                <w:szCs w:val="24"/>
              </w:rPr>
            </w:pPr>
            <w:r>
              <w:rPr>
                <w:rFonts w:eastAsia="Calibri" w:cs="Arial"/>
                <w:sz w:val="22"/>
                <w:szCs w:val="24"/>
              </w:rPr>
              <w:t>1,63</w:t>
            </w:r>
          </w:p>
        </w:tc>
      </w:tr>
      <w:tr w:rsidR="00740AD2" w:rsidRPr="00656554" w:rsidTr="00740AD2">
        <w:trPr>
          <w:trHeight w:val="317"/>
        </w:trPr>
        <w:tc>
          <w:tcPr>
            <w:tcW w:w="5740" w:type="dxa"/>
            <w:tcBorders>
              <w:top w:val="single" w:sz="6" w:space="0" w:color="auto"/>
              <w:left w:val="double" w:sz="4" w:space="0" w:color="auto"/>
              <w:bottom w:val="single" w:sz="6" w:space="0" w:color="auto"/>
              <w:right w:val="single" w:sz="6" w:space="0" w:color="auto"/>
            </w:tcBorders>
            <w:shd w:val="clear" w:color="auto" w:fill="CCFF99"/>
            <w:vAlign w:val="bottom"/>
          </w:tcPr>
          <w:p w:rsidR="00740AD2" w:rsidRPr="00EF48C0" w:rsidRDefault="00740AD2" w:rsidP="006F2808">
            <w:pPr>
              <w:rPr>
                <w:rFonts w:cs="Arial"/>
                <w:color w:val="000000"/>
                <w:sz w:val="22"/>
              </w:rPr>
            </w:pPr>
            <w:r w:rsidRPr="00EF48C0">
              <w:rPr>
                <w:rFonts w:cs="Arial"/>
                <w:color w:val="000000"/>
                <w:sz w:val="22"/>
              </w:rPr>
              <w:t>Liga vozíčkářů</w:t>
            </w:r>
          </w:p>
        </w:tc>
        <w:tc>
          <w:tcPr>
            <w:tcW w:w="3419" w:type="dxa"/>
            <w:tcBorders>
              <w:top w:val="single" w:sz="6" w:space="0" w:color="auto"/>
              <w:left w:val="single" w:sz="6" w:space="0" w:color="auto"/>
              <w:bottom w:val="single" w:sz="6" w:space="0" w:color="auto"/>
              <w:right w:val="double" w:sz="4" w:space="0" w:color="auto"/>
            </w:tcBorders>
            <w:shd w:val="clear" w:color="auto" w:fill="FFFFCC"/>
            <w:vAlign w:val="center"/>
          </w:tcPr>
          <w:p w:rsidR="00740AD2" w:rsidRPr="00B60002" w:rsidRDefault="00740AD2" w:rsidP="006F2808">
            <w:pPr>
              <w:spacing w:before="60"/>
              <w:jc w:val="center"/>
              <w:rPr>
                <w:rFonts w:eastAsia="Calibri" w:cs="Arial"/>
                <w:sz w:val="22"/>
                <w:szCs w:val="24"/>
              </w:rPr>
            </w:pPr>
            <w:r>
              <w:rPr>
                <w:rFonts w:eastAsia="Calibri" w:cs="Arial"/>
                <w:sz w:val="22"/>
                <w:szCs w:val="24"/>
              </w:rPr>
              <w:t>1,67</w:t>
            </w:r>
          </w:p>
        </w:tc>
      </w:tr>
      <w:tr w:rsidR="00B60002" w:rsidRPr="00656554" w:rsidTr="00740AD2">
        <w:trPr>
          <w:trHeight w:val="317"/>
        </w:trPr>
        <w:tc>
          <w:tcPr>
            <w:tcW w:w="5740" w:type="dxa"/>
            <w:tcBorders>
              <w:top w:val="single" w:sz="6" w:space="0" w:color="auto"/>
              <w:left w:val="double" w:sz="4" w:space="0" w:color="auto"/>
              <w:bottom w:val="single" w:sz="6" w:space="0" w:color="auto"/>
              <w:right w:val="single" w:sz="6" w:space="0" w:color="auto"/>
            </w:tcBorders>
            <w:shd w:val="clear" w:color="auto" w:fill="CCFF99"/>
            <w:vAlign w:val="bottom"/>
          </w:tcPr>
          <w:p w:rsidR="00B60002" w:rsidRPr="00EF48C0" w:rsidRDefault="00B60002" w:rsidP="00DD261D">
            <w:pPr>
              <w:rPr>
                <w:rFonts w:cs="Arial"/>
                <w:color w:val="000000"/>
                <w:sz w:val="22"/>
              </w:rPr>
            </w:pPr>
            <w:r w:rsidRPr="00EF48C0">
              <w:rPr>
                <w:rFonts w:cs="Arial"/>
                <w:color w:val="000000"/>
                <w:sz w:val="22"/>
              </w:rPr>
              <w:t>Sociální služby města Velké Meziříčí: Dům s pečovatelskou službou (ulice Strmá)</w:t>
            </w:r>
          </w:p>
        </w:tc>
        <w:tc>
          <w:tcPr>
            <w:tcW w:w="3419" w:type="dxa"/>
            <w:tcBorders>
              <w:top w:val="single" w:sz="6" w:space="0" w:color="auto"/>
              <w:left w:val="single" w:sz="6" w:space="0" w:color="auto"/>
              <w:bottom w:val="single" w:sz="6" w:space="0" w:color="auto"/>
              <w:right w:val="double" w:sz="4" w:space="0" w:color="auto"/>
            </w:tcBorders>
            <w:shd w:val="clear" w:color="auto" w:fill="FFFFCC"/>
            <w:vAlign w:val="center"/>
          </w:tcPr>
          <w:p w:rsidR="00B60002" w:rsidRPr="005D43D7" w:rsidRDefault="00740AD2" w:rsidP="00DD261D">
            <w:pPr>
              <w:spacing w:before="60"/>
              <w:jc w:val="center"/>
              <w:rPr>
                <w:rFonts w:eastAsia="Calibri" w:cs="Arial"/>
                <w:sz w:val="22"/>
                <w:szCs w:val="24"/>
              </w:rPr>
            </w:pPr>
            <w:r>
              <w:rPr>
                <w:rFonts w:eastAsia="Calibri" w:cs="Arial"/>
                <w:sz w:val="22"/>
                <w:szCs w:val="24"/>
              </w:rPr>
              <w:t>2,05</w:t>
            </w:r>
          </w:p>
        </w:tc>
      </w:tr>
      <w:tr w:rsidR="00B60002" w:rsidRPr="00656554" w:rsidTr="00740AD2">
        <w:trPr>
          <w:trHeight w:val="317"/>
        </w:trPr>
        <w:tc>
          <w:tcPr>
            <w:tcW w:w="5740" w:type="dxa"/>
            <w:tcBorders>
              <w:top w:val="single" w:sz="6" w:space="0" w:color="auto"/>
              <w:left w:val="double" w:sz="4" w:space="0" w:color="auto"/>
              <w:bottom w:val="single" w:sz="6" w:space="0" w:color="auto"/>
              <w:right w:val="single" w:sz="6" w:space="0" w:color="auto"/>
            </w:tcBorders>
            <w:shd w:val="clear" w:color="auto" w:fill="CCFF99"/>
            <w:vAlign w:val="bottom"/>
          </w:tcPr>
          <w:p w:rsidR="00B60002" w:rsidRPr="00EF48C0" w:rsidRDefault="00B60002" w:rsidP="00C50D06">
            <w:pPr>
              <w:spacing w:before="60"/>
              <w:jc w:val="left"/>
              <w:rPr>
                <w:rFonts w:eastAsia="Calibri" w:cs="Arial"/>
                <w:sz w:val="22"/>
                <w:szCs w:val="24"/>
              </w:rPr>
            </w:pPr>
            <w:r w:rsidRPr="00EF48C0">
              <w:rPr>
                <w:rFonts w:cs="Arial"/>
                <w:color w:val="000000"/>
                <w:sz w:val="22"/>
              </w:rPr>
              <w:t>ZO Neslyšících a nedoslýchavých Velké Meziříčí</w:t>
            </w:r>
          </w:p>
        </w:tc>
        <w:tc>
          <w:tcPr>
            <w:tcW w:w="3419" w:type="dxa"/>
            <w:tcBorders>
              <w:top w:val="single" w:sz="6" w:space="0" w:color="auto"/>
              <w:left w:val="single" w:sz="6" w:space="0" w:color="auto"/>
              <w:bottom w:val="single" w:sz="6" w:space="0" w:color="auto"/>
              <w:right w:val="double" w:sz="4" w:space="0" w:color="auto"/>
            </w:tcBorders>
            <w:shd w:val="clear" w:color="auto" w:fill="FFFFCC"/>
            <w:vAlign w:val="center"/>
          </w:tcPr>
          <w:p w:rsidR="00B60002" w:rsidRPr="005D43D7" w:rsidRDefault="00740AD2" w:rsidP="00C50D06">
            <w:pPr>
              <w:spacing w:before="60"/>
              <w:jc w:val="center"/>
              <w:rPr>
                <w:rFonts w:eastAsia="Calibri" w:cs="Arial"/>
                <w:sz w:val="22"/>
                <w:szCs w:val="24"/>
              </w:rPr>
            </w:pPr>
            <w:r>
              <w:rPr>
                <w:rFonts w:eastAsia="Calibri" w:cs="Arial"/>
                <w:sz w:val="22"/>
                <w:szCs w:val="24"/>
              </w:rPr>
              <w:t>--</w:t>
            </w:r>
          </w:p>
        </w:tc>
      </w:tr>
      <w:tr w:rsidR="00B60002" w:rsidRPr="00656554" w:rsidTr="00740AD2">
        <w:trPr>
          <w:trHeight w:val="317"/>
        </w:trPr>
        <w:tc>
          <w:tcPr>
            <w:tcW w:w="5740" w:type="dxa"/>
            <w:tcBorders>
              <w:top w:val="single" w:sz="6" w:space="0" w:color="auto"/>
              <w:left w:val="double" w:sz="4" w:space="0" w:color="auto"/>
              <w:bottom w:val="double" w:sz="4" w:space="0" w:color="auto"/>
              <w:right w:val="single" w:sz="6" w:space="0" w:color="auto"/>
            </w:tcBorders>
            <w:shd w:val="clear" w:color="auto" w:fill="CCFF99"/>
            <w:vAlign w:val="bottom"/>
          </w:tcPr>
          <w:p w:rsidR="00B60002" w:rsidRPr="00EF48C0" w:rsidRDefault="00B60002" w:rsidP="00DD261D">
            <w:pPr>
              <w:rPr>
                <w:rFonts w:cs="Arial"/>
                <w:color w:val="000000"/>
                <w:sz w:val="22"/>
              </w:rPr>
            </w:pPr>
            <w:r w:rsidRPr="00EF48C0">
              <w:rPr>
                <w:rFonts w:cs="Arial"/>
                <w:color w:val="000000"/>
                <w:sz w:val="22"/>
              </w:rPr>
              <w:t>Hospicové hnutí – Vysočina, o.s.</w:t>
            </w:r>
          </w:p>
        </w:tc>
        <w:tc>
          <w:tcPr>
            <w:tcW w:w="3419" w:type="dxa"/>
            <w:tcBorders>
              <w:top w:val="single" w:sz="6" w:space="0" w:color="auto"/>
              <w:left w:val="single" w:sz="6" w:space="0" w:color="auto"/>
              <w:bottom w:val="double" w:sz="4" w:space="0" w:color="auto"/>
              <w:right w:val="double" w:sz="4" w:space="0" w:color="auto"/>
            </w:tcBorders>
            <w:shd w:val="clear" w:color="auto" w:fill="FFFFCC"/>
            <w:vAlign w:val="center"/>
          </w:tcPr>
          <w:p w:rsidR="00B60002" w:rsidRPr="005D43D7" w:rsidRDefault="00B60002" w:rsidP="00DD261D">
            <w:pPr>
              <w:spacing w:before="60"/>
              <w:jc w:val="center"/>
              <w:rPr>
                <w:rFonts w:eastAsia="Calibri" w:cs="Arial"/>
                <w:sz w:val="22"/>
                <w:szCs w:val="24"/>
              </w:rPr>
            </w:pPr>
            <w:r>
              <w:rPr>
                <w:rFonts w:eastAsia="Calibri" w:cs="Arial"/>
                <w:sz w:val="22"/>
                <w:szCs w:val="24"/>
              </w:rPr>
              <w:t>--</w:t>
            </w:r>
          </w:p>
        </w:tc>
      </w:tr>
    </w:tbl>
    <w:p w:rsidR="006D6D07" w:rsidRDefault="006D6D07" w:rsidP="00C50D06">
      <w:pPr>
        <w:tabs>
          <w:tab w:val="left" w:pos="954"/>
        </w:tabs>
        <w:jc w:val="right"/>
      </w:pPr>
      <w:r>
        <w:rPr>
          <w:sz w:val="16"/>
          <w:szCs w:val="16"/>
        </w:rPr>
        <w:t>Tabulka: AUGUR Consulting</w:t>
      </w:r>
    </w:p>
    <w:p w:rsidR="00A52371" w:rsidRDefault="00A52371" w:rsidP="00A52371"/>
    <w:p w:rsidR="00A52371" w:rsidRDefault="00A52371" w:rsidP="00A52371">
      <w:r>
        <w:t>Respondenti se o službě, kterou využívají, dozvěděli nejčastěji zprostředkovaně tj. od přátel, spolupracovníků, známých apod. (24,4 %). Dále pak od pracovníka/pracovnice organizace, o které vědí, že podobné služby poskytuje (20,0 %), od rodiny (</w:t>
      </w:r>
      <w:r w:rsidR="000C3428">
        <w:t>18</w:t>
      </w:r>
      <w:r>
        <w:t>,</w:t>
      </w:r>
      <w:r w:rsidR="000C3428">
        <w:t>5</w:t>
      </w:r>
      <w:r>
        <w:t xml:space="preserve"> %), </w:t>
      </w:r>
      <w:r w:rsidR="000C3428">
        <w:t xml:space="preserve">od lékaře (17,8 %), od člověka, který se s podobným problémem setkal (11,9 %) a </w:t>
      </w:r>
      <w:r>
        <w:t>na MěÚ Odbor sociálních věcí (</w:t>
      </w:r>
      <w:r w:rsidR="000C3428">
        <w:t>9,6</w:t>
      </w:r>
      <w:r>
        <w:t xml:space="preserve"> %)</w:t>
      </w:r>
      <w:r w:rsidR="000C3428">
        <w:t>.</w:t>
      </w:r>
      <w:r>
        <w:t xml:space="preserve"> V menší míře se respondenti o službě dozvěděli z týdeníku Velkomeziříčsko (</w:t>
      </w:r>
      <w:r w:rsidR="000C3428">
        <w:t>5,9 %)</w:t>
      </w:r>
      <w:r>
        <w:t xml:space="preserve"> nebo službu našli na internetu (</w:t>
      </w:r>
      <w:r w:rsidR="000C3428">
        <w:t>3,0</w:t>
      </w:r>
      <w:r>
        <w:t xml:space="preserve"> %)</w:t>
      </w:r>
      <w:r w:rsidR="000C3428">
        <w:t xml:space="preserve"> případně z elektronického katalogu sociálních služeb na webové stránce MěÚ (0,7 %)</w:t>
      </w:r>
      <w:r>
        <w:t xml:space="preserve">. Výsledky jsou uvedeny v následujícím grafu č. </w:t>
      </w:r>
      <w:r w:rsidR="00331E25">
        <w:t>25</w:t>
      </w:r>
      <w:r>
        <w:t>.</w:t>
      </w:r>
    </w:p>
    <w:p w:rsidR="006D6D07" w:rsidRPr="00CC2702" w:rsidRDefault="006D6D07" w:rsidP="00C50D06">
      <w:pPr>
        <w:pStyle w:val="Titulek"/>
        <w:keepNext/>
        <w:rPr>
          <w:b w:val="0"/>
        </w:rPr>
      </w:pPr>
    </w:p>
    <w:p w:rsidR="00331E25" w:rsidRDefault="004D7167" w:rsidP="00C50D06">
      <w:r w:rsidRPr="00640D8E">
        <w:rPr>
          <w:noProof/>
          <w:lang w:eastAsia="cs-CZ"/>
        </w:rPr>
        <mc:AlternateContent>
          <mc:Choice Requires="wps">
            <w:drawing>
              <wp:anchor distT="0" distB="0" distL="114300" distR="114300" simplePos="0" relativeHeight="251713536" behindDoc="0" locked="0" layoutInCell="1" allowOverlap="1" wp14:anchorId="52C8CCB4" wp14:editId="7C6204BB">
                <wp:simplePos x="0" y="0"/>
                <wp:positionH relativeFrom="column">
                  <wp:posOffset>141546</wp:posOffset>
                </wp:positionH>
                <wp:positionV relativeFrom="paragraph">
                  <wp:posOffset>4053840</wp:posOffset>
                </wp:positionV>
                <wp:extent cx="5592445" cy="368935"/>
                <wp:effectExtent l="0" t="0" r="0" b="0"/>
                <wp:wrapNone/>
                <wp:docPr id="8"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4D7167">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91,8 %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36" type="#_x0000_t202" style="position:absolute;left:0;text-align:left;margin-left:11.15pt;margin-top:319.2pt;width:440.35pt;height:29.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" filled="f" stroked="f">
                <v:textbox style="mso-fit-shape-to-text:t">
                  <w:txbxContent>
                    <w:p w:rsidR="00D822DB" w:rsidRDefault="00D822DB" w:rsidP="004D7167">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91,8 %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p>
    <w:p w:rsidR="00331E25" w:rsidRDefault="00331E25" w:rsidP="00331E25">
      <w:pPr>
        <w:pStyle w:val="Titulek"/>
        <w:keepNext/>
      </w:pPr>
      <w:bookmarkStart w:id="102" w:name="_Toc367357527"/>
      <w:r>
        <w:t xml:space="preserve">Graf č. </w:t>
      </w:r>
      <w:r w:rsidR="00EE3646">
        <w:fldChar w:fldCharType="begin"/>
      </w:r>
      <w:r w:rsidR="00EE3646">
        <w:instrText xml:space="preserve"> SEQ Graf_č. \* ARABIC </w:instrText>
      </w:r>
      <w:r w:rsidR="00EE3646">
        <w:fldChar w:fldCharType="separate"/>
      </w:r>
      <w:r w:rsidR="00B16210">
        <w:rPr>
          <w:noProof/>
        </w:rPr>
        <w:t>25</w:t>
      </w:r>
      <w:r w:rsidR="00EE3646">
        <w:rPr>
          <w:noProof/>
        </w:rPr>
        <w:fldChar w:fldCharType="end"/>
      </w:r>
      <w:r w:rsidRPr="009F52AB">
        <w:t xml:space="preserve">: </w:t>
      </w:r>
      <w:r w:rsidRPr="009F52AB">
        <w:rPr>
          <w:b w:val="0"/>
        </w:rPr>
        <w:t>Získání povědomí o službě.</w:t>
      </w:r>
      <w:bookmarkEnd w:id="102"/>
    </w:p>
    <w:p w:rsidR="006D6D07" w:rsidRDefault="0072544D" w:rsidP="00C50D06">
      <w:r w:rsidRPr="00640D8E">
        <w:rPr>
          <w:noProof/>
          <w:lang w:eastAsia="cs-CZ"/>
        </w:rPr>
        <mc:AlternateContent>
          <mc:Choice Requires="wps">
            <w:drawing>
              <wp:anchor distT="0" distB="0" distL="114300" distR="114300" simplePos="0" relativeHeight="251738112" behindDoc="0" locked="0" layoutInCell="1" allowOverlap="1" wp14:anchorId="575C76FD" wp14:editId="114DA7E5">
                <wp:simplePos x="0" y="0"/>
                <wp:positionH relativeFrom="column">
                  <wp:posOffset>137160</wp:posOffset>
                </wp:positionH>
                <wp:positionV relativeFrom="paragraph">
                  <wp:posOffset>4045585</wp:posOffset>
                </wp:positionV>
                <wp:extent cx="5592445" cy="368935"/>
                <wp:effectExtent l="0" t="0" r="0" b="0"/>
                <wp:wrapNone/>
                <wp:docPr id="224"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72544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91,8 %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37" type="#_x0000_t202" style="position:absolute;left:0;text-align:left;margin-left:10.8pt;margin-top:318.55pt;width:440.35pt;height:29.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" filled="f" stroked="f">
                <v:textbox style="mso-fit-shape-to-text:t">
                  <w:txbxContent>
                    <w:p w:rsidR="00D822DB" w:rsidRDefault="00D822DB" w:rsidP="0072544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91,8 %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6D6D07" w:rsidRPr="00792D89">
        <w:rPr>
          <w:noProof/>
          <w:color w:val="FF0000"/>
          <w:lang w:eastAsia="cs-CZ"/>
        </w:rPr>
        <w:drawing>
          <wp:inline distT="0" distB="0" distL="0" distR="0" wp14:anchorId="6B2EC9D1" wp14:editId="7D0137A8">
            <wp:extent cx="5730949" cy="4239615"/>
            <wp:effectExtent l="0" t="0" r="22225" b="27940"/>
            <wp:docPr id="24"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D6D07" w:rsidRDefault="007C195E" w:rsidP="00C50D06">
      <w:pPr>
        <w:spacing w:before="0" w:after="200" w:line="276" w:lineRule="auto"/>
        <w:jc w:val="left"/>
        <w:rPr>
          <w:sz w:val="20"/>
        </w:rPr>
      </w:pPr>
      <w:r w:rsidRPr="007C195E">
        <w:rPr>
          <w:b/>
          <w:sz w:val="20"/>
        </w:rPr>
        <w:t>Jinak:</w:t>
      </w:r>
      <w:r w:rsidR="004D7167">
        <w:rPr>
          <w:b/>
        </w:rPr>
        <w:t xml:space="preserve"> </w:t>
      </w:r>
      <w:r w:rsidR="004D7167" w:rsidRPr="004D7167">
        <w:rPr>
          <w:sz w:val="20"/>
        </w:rPr>
        <w:t>úřad práce, od cizích lidí</w:t>
      </w:r>
      <w:r w:rsidR="00F3348D">
        <w:rPr>
          <w:sz w:val="20"/>
        </w:rPr>
        <w:t>, z nástěnky v kostele apod.</w:t>
      </w:r>
    </w:p>
    <w:p w:rsidR="00CE2B93" w:rsidRDefault="00CE2B93" w:rsidP="00CE2B93">
      <w:r>
        <w:t xml:space="preserve">V případě potřeby pomoci </w:t>
      </w:r>
      <w:r w:rsidR="00C326EE">
        <w:t>(</w:t>
      </w:r>
      <w:r>
        <w:t>z důvodu nemožnosti postarat se sám o sebe</w:t>
      </w:r>
      <w:r w:rsidR="00C326EE">
        <w:t>)</w:t>
      </w:r>
      <w:r>
        <w:t xml:space="preserve"> by se respondenti nejčastěji obrátili na konkrétní sociální službu (55,9 %), více než čtvrtina z nich (27,1 %) by kontaktovala svoji blízkou rodinu a příbuzné a desetina dotázaných (11,9 %) by se obrátila na svého lékaře. </w:t>
      </w:r>
      <w:r w:rsidR="005632FE">
        <w:t>Jednalo se o volnou otázku (tj. </w:t>
      </w:r>
      <w:r>
        <w:t>bez nabízených variant odpovědí). Sloučené kategorie dokum</w:t>
      </w:r>
      <w:r w:rsidR="00594151">
        <w:t>entuje následující tabulka č. 34</w:t>
      </w:r>
      <w:r>
        <w:t>.</w:t>
      </w:r>
    </w:p>
    <w:p w:rsidR="00CE2B93" w:rsidRDefault="00CE2B93" w:rsidP="00C50D06">
      <w:pPr>
        <w:pStyle w:val="Titulek"/>
        <w:keepNext/>
      </w:pPr>
    </w:p>
    <w:p w:rsidR="00331E25" w:rsidRDefault="00331E25" w:rsidP="00331E25">
      <w:pPr>
        <w:pStyle w:val="Titulek"/>
        <w:keepNext/>
      </w:pPr>
      <w:bookmarkStart w:id="103" w:name="_Toc367794878"/>
      <w:r>
        <w:t xml:space="preserve">Tabulka č. </w:t>
      </w:r>
      <w:r w:rsidR="00EE3646">
        <w:fldChar w:fldCharType="begin"/>
      </w:r>
      <w:r w:rsidR="00EE3646">
        <w:instrText xml:space="preserve"> SEQ Tabulka_č. \* ARABIC </w:instrText>
      </w:r>
      <w:r w:rsidR="00EE3646">
        <w:fldChar w:fldCharType="separate"/>
      </w:r>
      <w:r w:rsidR="00594151">
        <w:rPr>
          <w:noProof/>
        </w:rPr>
        <w:t>34</w:t>
      </w:r>
      <w:r w:rsidR="00EE3646">
        <w:rPr>
          <w:noProof/>
        </w:rPr>
        <w:fldChar w:fldCharType="end"/>
      </w:r>
      <w:r>
        <w:t xml:space="preserve">: </w:t>
      </w:r>
      <w:r w:rsidRPr="00502F4D">
        <w:rPr>
          <w:b w:val="0"/>
        </w:rPr>
        <w:t>Směřování žádosti o pomoc v případě nemožnosti postarat se sám o sebe.</w:t>
      </w:r>
      <w:bookmarkEnd w:id="103"/>
      <w:r>
        <w:rPr>
          <w:b w:val="0"/>
        </w:rPr>
        <w:t xml:space="preserve"> </w:t>
      </w:r>
    </w:p>
    <w:tbl>
      <w:tblPr>
        <w:tblW w:w="91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640"/>
        <w:gridCol w:w="1929"/>
        <w:gridCol w:w="1626"/>
      </w:tblGrid>
      <w:tr w:rsidR="006D6D07" w:rsidRPr="003612F2" w:rsidTr="00C50D06">
        <w:trPr>
          <w:cantSplit/>
          <w:trHeight w:val="871"/>
        </w:trPr>
        <w:tc>
          <w:tcPr>
            <w:tcW w:w="5640" w:type="dxa"/>
            <w:vMerge w:val="restart"/>
            <w:tcBorders>
              <w:top w:val="single" w:sz="4" w:space="0" w:color="auto"/>
              <w:left w:val="single" w:sz="4" w:space="0" w:color="auto"/>
            </w:tcBorders>
            <w:shd w:val="clear" w:color="auto" w:fill="92D050"/>
            <w:vAlign w:val="center"/>
          </w:tcPr>
          <w:p w:rsidR="006D6D07" w:rsidRPr="003612F2" w:rsidRDefault="006D6D07" w:rsidP="00C50D06">
            <w:pPr>
              <w:spacing w:before="0"/>
              <w:jc w:val="center"/>
              <w:rPr>
                <w:rFonts w:cs="Arial"/>
                <w:b/>
                <w:bCs/>
                <w:sz w:val="20"/>
                <w:szCs w:val="20"/>
              </w:rPr>
            </w:pPr>
            <w:r w:rsidRPr="003612F2">
              <w:rPr>
                <w:rFonts w:cs="Arial"/>
                <w:sz w:val="20"/>
                <w:szCs w:val="20"/>
              </w:rPr>
              <w:br w:type="page"/>
            </w:r>
            <w:r>
              <w:rPr>
                <w:rFonts w:cs="Arial"/>
                <w:b/>
                <w:bCs/>
                <w:szCs w:val="24"/>
              </w:rPr>
              <w:t xml:space="preserve">Na koho byste se obrátil(a), kdybyste </w:t>
            </w:r>
            <w:r>
              <w:rPr>
                <w:rFonts w:cs="Arial"/>
                <w:b/>
              </w:rPr>
              <w:t>potřeboval(a) Vy osobně nebo vaši blízcí pomoc v případě nemožnosti postarat se sám o sebe, např. z důvodu snížení soběstačnosti?</w:t>
            </w:r>
          </w:p>
        </w:tc>
        <w:tc>
          <w:tcPr>
            <w:tcW w:w="3555"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6E17E5" w:rsidRDefault="006D6D07" w:rsidP="006E17E5">
            <w:pPr>
              <w:spacing w:before="0"/>
              <w:jc w:val="center"/>
              <w:outlineLvl w:val="6"/>
              <w:rPr>
                <w:rFonts w:cs="Arial"/>
                <w:b/>
                <w:bCs/>
                <w:sz w:val="20"/>
                <w:szCs w:val="20"/>
              </w:rPr>
            </w:pPr>
            <w:r w:rsidRPr="003612F2">
              <w:rPr>
                <w:rFonts w:cs="Arial"/>
                <w:b/>
                <w:bCs/>
                <w:sz w:val="20"/>
                <w:szCs w:val="20"/>
              </w:rPr>
              <w:t xml:space="preserve">Na volnou otázku </w:t>
            </w:r>
            <w:r w:rsidRPr="003612F2">
              <w:rPr>
                <w:rFonts w:cs="Arial"/>
                <w:sz w:val="20"/>
                <w:szCs w:val="20"/>
              </w:rPr>
              <w:t>(otázka bez nabízených variant)</w:t>
            </w:r>
            <w:r w:rsidR="006E17E5">
              <w:rPr>
                <w:rFonts w:cs="Arial"/>
                <w:b/>
                <w:bCs/>
                <w:sz w:val="20"/>
                <w:szCs w:val="20"/>
              </w:rPr>
              <w:t xml:space="preserve"> </w:t>
            </w:r>
          </w:p>
          <w:p w:rsidR="006D6D07" w:rsidRPr="003612F2" w:rsidRDefault="006E17E5" w:rsidP="006E17E5">
            <w:pPr>
              <w:spacing w:before="0"/>
              <w:jc w:val="center"/>
              <w:outlineLvl w:val="6"/>
              <w:rPr>
                <w:rFonts w:cs="Arial"/>
                <w:b/>
                <w:bCs/>
                <w:sz w:val="20"/>
                <w:szCs w:val="20"/>
              </w:rPr>
            </w:pPr>
            <w:r>
              <w:rPr>
                <w:rFonts w:cs="Arial"/>
                <w:b/>
                <w:bCs/>
                <w:sz w:val="20"/>
                <w:szCs w:val="20"/>
              </w:rPr>
              <w:t>odpovědělo</w:t>
            </w:r>
            <w:r w:rsidR="006D6D07" w:rsidRPr="003612F2">
              <w:rPr>
                <w:rFonts w:cs="Arial"/>
                <w:b/>
                <w:bCs/>
                <w:sz w:val="20"/>
                <w:szCs w:val="20"/>
              </w:rPr>
              <w:t xml:space="preserve"> </w:t>
            </w:r>
            <w:r>
              <w:rPr>
                <w:rFonts w:cs="Arial"/>
                <w:b/>
                <w:bCs/>
                <w:sz w:val="20"/>
                <w:szCs w:val="20"/>
              </w:rPr>
              <w:t xml:space="preserve">80,3 </w:t>
            </w:r>
            <w:r w:rsidR="006D6D07" w:rsidRPr="003612F2">
              <w:rPr>
                <w:rFonts w:cs="Arial"/>
                <w:b/>
                <w:bCs/>
                <w:sz w:val="20"/>
                <w:szCs w:val="20"/>
              </w:rPr>
              <w:t>% respondentů.</w:t>
            </w:r>
          </w:p>
        </w:tc>
      </w:tr>
      <w:tr w:rsidR="006D6D07" w:rsidRPr="003612F2" w:rsidTr="00C50D06">
        <w:trPr>
          <w:cantSplit/>
          <w:trHeight w:val="72"/>
        </w:trPr>
        <w:tc>
          <w:tcPr>
            <w:tcW w:w="5640" w:type="dxa"/>
            <w:vMerge/>
            <w:tcBorders>
              <w:left w:val="single" w:sz="4" w:space="0" w:color="auto"/>
              <w:bottom w:val="single" w:sz="4" w:space="0" w:color="auto"/>
            </w:tcBorders>
            <w:shd w:val="clear" w:color="auto" w:fill="92D050"/>
            <w:vAlign w:val="center"/>
          </w:tcPr>
          <w:p w:rsidR="006D6D07" w:rsidRPr="003612F2" w:rsidRDefault="006D6D07" w:rsidP="00C50D06">
            <w:pPr>
              <w:spacing w:before="0"/>
              <w:jc w:val="center"/>
              <w:rPr>
                <w:rFonts w:cs="Arial"/>
                <w:color w:val="FF0000"/>
                <w:sz w:val="20"/>
                <w:szCs w:val="20"/>
              </w:rPr>
            </w:pPr>
          </w:p>
        </w:tc>
        <w:tc>
          <w:tcPr>
            <w:tcW w:w="1929" w:type="dxa"/>
            <w:tcBorders>
              <w:top w:val="single" w:sz="4" w:space="0" w:color="auto"/>
              <w:left w:val="single" w:sz="4" w:space="0" w:color="auto"/>
              <w:bottom w:val="single" w:sz="4" w:space="0" w:color="auto"/>
              <w:right w:val="single" w:sz="4" w:space="0" w:color="auto"/>
            </w:tcBorders>
            <w:shd w:val="clear" w:color="auto" w:fill="92D050"/>
            <w:vAlign w:val="center"/>
          </w:tcPr>
          <w:p w:rsidR="006D6D07" w:rsidRPr="00CC2702" w:rsidRDefault="006D6D07" w:rsidP="00C50D06">
            <w:pPr>
              <w:spacing w:before="0"/>
              <w:jc w:val="center"/>
              <w:outlineLvl w:val="6"/>
              <w:rPr>
                <w:rFonts w:cs="Arial"/>
                <w:b/>
                <w:bCs/>
                <w:sz w:val="22"/>
                <w:szCs w:val="20"/>
              </w:rPr>
            </w:pPr>
            <w:r w:rsidRPr="00CC2702">
              <w:rPr>
                <w:rFonts w:cs="Arial"/>
                <w:b/>
                <w:bCs/>
                <w:sz w:val="22"/>
                <w:szCs w:val="20"/>
              </w:rPr>
              <w:t xml:space="preserve">Absolutní četnosti </w:t>
            </w:r>
          </w:p>
        </w:tc>
        <w:tc>
          <w:tcPr>
            <w:tcW w:w="1626" w:type="dxa"/>
            <w:tcBorders>
              <w:top w:val="single" w:sz="4" w:space="0" w:color="auto"/>
              <w:left w:val="single" w:sz="4" w:space="0" w:color="auto"/>
              <w:bottom w:val="single" w:sz="4" w:space="0" w:color="auto"/>
              <w:right w:val="single" w:sz="4" w:space="0" w:color="auto"/>
            </w:tcBorders>
            <w:shd w:val="clear" w:color="auto" w:fill="92D050"/>
            <w:vAlign w:val="center"/>
          </w:tcPr>
          <w:p w:rsidR="006D6D07" w:rsidRPr="00CC2702" w:rsidRDefault="006D6D07" w:rsidP="00C50D06">
            <w:pPr>
              <w:spacing w:before="0"/>
              <w:jc w:val="center"/>
              <w:outlineLvl w:val="6"/>
              <w:rPr>
                <w:rFonts w:cs="Arial"/>
                <w:b/>
                <w:bCs/>
                <w:sz w:val="22"/>
                <w:szCs w:val="20"/>
              </w:rPr>
            </w:pPr>
            <w:r w:rsidRPr="00CC2702">
              <w:rPr>
                <w:rFonts w:cs="Arial"/>
                <w:b/>
                <w:bCs/>
                <w:sz w:val="22"/>
                <w:szCs w:val="20"/>
              </w:rPr>
              <w:t>Relativní četnosti (%)</w:t>
            </w:r>
          </w:p>
        </w:tc>
      </w:tr>
      <w:tr w:rsidR="006D6D07"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ACF6B0"/>
            <w:vAlign w:val="center"/>
          </w:tcPr>
          <w:p w:rsidR="006D6D07" w:rsidRPr="005D43D7" w:rsidRDefault="00CE2B93" w:rsidP="00C50D06">
            <w:pPr>
              <w:spacing w:before="0"/>
              <w:jc w:val="center"/>
              <w:rPr>
                <w:rFonts w:eastAsia="Arial Unicode MS" w:cs="Arial"/>
                <w:b/>
                <w:sz w:val="22"/>
              </w:rPr>
            </w:pPr>
            <w:r w:rsidRPr="00CE2B93">
              <w:rPr>
                <w:rFonts w:eastAsia="Arial Unicode MS" w:cs="Arial"/>
                <w:b/>
                <w:sz w:val="22"/>
              </w:rPr>
              <w:t>Sociální služba (Pečovatelská služba, Domov pro seniory, apod.)</w:t>
            </w:r>
          </w:p>
        </w:tc>
        <w:tc>
          <w:tcPr>
            <w:tcW w:w="1929" w:type="dxa"/>
            <w:tcBorders>
              <w:top w:val="single" w:sz="4" w:space="0" w:color="auto"/>
              <w:left w:val="single" w:sz="4" w:space="0" w:color="auto"/>
              <w:bottom w:val="single" w:sz="4" w:space="0" w:color="auto"/>
              <w:right w:val="single" w:sz="4" w:space="0" w:color="auto"/>
            </w:tcBorders>
            <w:shd w:val="clear" w:color="auto" w:fill="ACF6B0"/>
            <w:vAlign w:val="center"/>
          </w:tcPr>
          <w:p w:rsidR="006D6D07" w:rsidRPr="005D43D7" w:rsidRDefault="00CE2B93" w:rsidP="00C50D06">
            <w:pPr>
              <w:spacing w:before="0"/>
              <w:jc w:val="center"/>
              <w:rPr>
                <w:rFonts w:eastAsia="Arial Unicode MS" w:cs="Arial"/>
                <w:b/>
                <w:sz w:val="22"/>
              </w:rPr>
            </w:pPr>
            <w:r>
              <w:rPr>
                <w:rFonts w:eastAsia="Arial Unicode MS" w:cs="Arial"/>
                <w:b/>
                <w:sz w:val="22"/>
              </w:rPr>
              <w:t>66</w:t>
            </w:r>
          </w:p>
        </w:tc>
        <w:tc>
          <w:tcPr>
            <w:tcW w:w="1626" w:type="dxa"/>
            <w:tcBorders>
              <w:top w:val="single" w:sz="4" w:space="0" w:color="auto"/>
              <w:left w:val="single" w:sz="4" w:space="0" w:color="auto"/>
              <w:bottom w:val="single" w:sz="4" w:space="0" w:color="auto"/>
              <w:right w:val="single" w:sz="4" w:space="0" w:color="auto"/>
            </w:tcBorders>
            <w:shd w:val="clear" w:color="auto" w:fill="ACF6B0"/>
            <w:vAlign w:val="center"/>
          </w:tcPr>
          <w:p w:rsidR="006D6D07" w:rsidRPr="005D43D7" w:rsidRDefault="00CE2B93" w:rsidP="00C50D06">
            <w:pPr>
              <w:spacing w:before="0"/>
              <w:jc w:val="center"/>
              <w:rPr>
                <w:rFonts w:eastAsia="Arial Unicode MS" w:cs="Arial"/>
                <w:b/>
                <w:sz w:val="22"/>
              </w:rPr>
            </w:pPr>
            <w:r>
              <w:rPr>
                <w:rFonts w:eastAsia="Arial Unicode MS" w:cs="Arial"/>
                <w:b/>
                <w:sz w:val="22"/>
              </w:rPr>
              <w:t>55,9</w:t>
            </w:r>
          </w:p>
        </w:tc>
      </w:tr>
      <w:tr w:rsidR="006D6D07"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ACF6B0"/>
            <w:vAlign w:val="center"/>
          </w:tcPr>
          <w:p w:rsidR="006D6D07" w:rsidRPr="005D43D7" w:rsidRDefault="00CE2B93" w:rsidP="00C50D06">
            <w:pPr>
              <w:spacing w:before="0"/>
              <w:jc w:val="center"/>
              <w:rPr>
                <w:rFonts w:eastAsia="Arial Unicode MS" w:cs="Arial"/>
                <w:b/>
                <w:sz w:val="22"/>
              </w:rPr>
            </w:pPr>
            <w:r>
              <w:rPr>
                <w:rFonts w:eastAsia="Arial Unicode MS" w:cs="Arial"/>
                <w:b/>
                <w:sz w:val="22"/>
              </w:rPr>
              <w:t>Rodina</w:t>
            </w:r>
          </w:p>
        </w:tc>
        <w:tc>
          <w:tcPr>
            <w:tcW w:w="1929" w:type="dxa"/>
            <w:tcBorders>
              <w:top w:val="single" w:sz="4" w:space="0" w:color="auto"/>
              <w:left w:val="single" w:sz="4" w:space="0" w:color="auto"/>
              <w:bottom w:val="single" w:sz="4" w:space="0" w:color="auto"/>
              <w:right w:val="single" w:sz="4" w:space="0" w:color="auto"/>
            </w:tcBorders>
            <w:shd w:val="clear" w:color="auto" w:fill="ACF6B0"/>
            <w:vAlign w:val="center"/>
          </w:tcPr>
          <w:p w:rsidR="006D6D07" w:rsidRPr="005D43D7" w:rsidRDefault="00CE2B93" w:rsidP="00C50D06">
            <w:pPr>
              <w:spacing w:before="0"/>
              <w:jc w:val="center"/>
              <w:rPr>
                <w:rFonts w:eastAsia="Arial Unicode MS" w:cs="Arial"/>
                <w:b/>
                <w:sz w:val="22"/>
              </w:rPr>
            </w:pPr>
            <w:r>
              <w:rPr>
                <w:rFonts w:eastAsia="Arial Unicode MS" w:cs="Arial"/>
                <w:b/>
                <w:sz w:val="22"/>
              </w:rPr>
              <w:t>32</w:t>
            </w:r>
          </w:p>
        </w:tc>
        <w:tc>
          <w:tcPr>
            <w:tcW w:w="1626" w:type="dxa"/>
            <w:tcBorders>
              <w:top w:val="single" w:sz="4" w:space="0" w:color="auto"/>
              <w:left w:val="single" w:sz="4" w:space="0" w:color="auto"/>
              <w:bottom w:val="single" w:sz="4" w:space="0" w:color="auto"/>
              <w:right w:val="single" w:sz="4" w:space="0" w:color="auto"/>
            </w:tcBorders>
            <w:shd w:val="clear" w:color="auto" w:fill="ACF6B0"/>
            <w:vAlign w:val="center"/>
          </w:tcPr>
          <w:p w:rsidR="006D6D07" w:rsidRPr="005D43D7" w:rsidRDefault="00CE2B93" w:rsidP="00C50D06">
            <w:pPr>
              <w:spacing w:before="0"/>
              <w:jc w:val="center"/>
              <w:rPr>
                <w:rFonts w:eastAsia="Arial Unicode MS" w:cs="Arial"/>
                <w:b/>
                <w:sz w:val="22"/>
              </w:rPr>
            </w:pPr>
            <w:r>
              <w:rPr>
                <w:rFonts w:eastAsia="Arial Unicode MS" w:cs="Arial"/>
                <w:b/>
                <w:sz w:val="22"/>
              </w:rPr>
              <w:t>27,1</w:t>
            </w:r>
          </w:p>
        </w:tc>
      </w:tr>
      <w:tr w:rsidR="006D6D07" w:rsidRPr="005D43D7" w:rsidTr="00C50D06">
        <w:trPr>
          <w:trHeight w:val="297"/>
        </w:trPr>
        <w:tc>
          <w:tcPr>
            <w:tcW w:w="5640" w:type="dxa"/>
            <w:tcBorders>
              <w:top w:val="single" w:sz="4" w:space="0" w:color="auto"/>
              <w:left w:val="single" w:sz="4" w:space="0" w:color="auto"/>
              <w:bottom w:val="single" w:sz="4" w:space="0" w:color="auto"/>
              <w:right w:val="single" w:sz="4" w:space="0" w:color="auto"/>
            </w:tcBorders>
            <w:shd w:val="clear" w:color="auto" w:fill="ECECEC"/>
            <w:vAlign w:val="center"/>
          </w:tcPr>
          <w:p w:rsidR="006D6D07" w:rsidRPr="005D43D7" w:rsidRDefault="00CE2B93" w:rsidP="00C50D06">
            <w:pPr>
              <w:spacing w:before="0"/>
              <w:jc w:val="center"/>
              <w:rPr>
                <w:rFonts w:eastAsia="Arial Unicode MS" w:cs="Arial"/>
                <w:sz w:val="22"/>
              </w:rPr>
            </w:pPr>
            <w:r>
              <w:rPr>
                <w:rFonts w:eastAsia="Arial Unicode MS" w:cs="Arial"/>
                <w:sz w:val="22"/>
              </w:rPr>
              <w:t>Lékař</w:t>
            </w:r>
          </w:p>
        </w:tc>
        <w:tc>
          <w:tcPr>
            <w:tcW w:w="1929" w:type="dxa"/>
            <w:tcBorders>
              <w:top w:val="single" w:sz="4" w:space="0" w:color="auto"/>
              <w:left w:val="single" w:sz="4" w:space="0" w:color="auto"/>
              <w:bottom w:val="single" w:sz="4" w:space="0" w:color="auto"/>
              <w:right w:val="single" w:sz="4" w:space="0" w:color="auto"/>
            </w:tcBorders>
            <w:shd w:val="clear" w:color="auto" w:fill="ECECEC"/>
            <w:vAlign w:val="center"/>
          </w:tcPr>
          <w:p w:rsidR="006D6D07" w:rsidRPr="005D43D7" w:rsidRDefault="00CE2B93" w:rsidP="00C50D06">
            <w:pPr>
              <w:spacing w:before="0"/>
              <w:jc w:val="center"/>
              <w:rPr>
                <w:rFonts w:eastAsia="Arial Unicode MS" w:cs="Arial"/>
                <w:sz w:val="22"/>
              </w:rPr>
            </w:pPr>
            <w:r>
              <w:rPr>
                <w:rFonts w:eastAsia="Arial Unicode MS" w:cs="Arial"/>
                <w:sz w:val="22"/>
              </w:rPr>
              <w:t>14</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6D6D07" w:rsidRPr="005D43D7" w:rsidRDefault="00CE2B93" w:rsidP="00C50D06">
            <w:pPr>
              <w:spacing w:before="0"/>
              <w:jc w:val="center"/>
              <w:rPr>
                <w:rFonts w:eastAsia="Arial Unicode MS" w:cs="Arial"/>
                <w:sz w:val="22"/>
              </w:rPr>
            </w:pPr>
            <w:r>
              <w:rPr>
                <w:rFonts w:eastAsia="Arial Unicode MS" w:cs="Arial"/>
                <w:sz w:val="22"/>
              </w:rPr>
              <w:t>11,9</w:t>
            </w:r>
          </w:p>
        </w:tc>
      </w:tr>
      <w:tr w:rsidR="006D6D07"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ECECEC"/>
            <w:vAlign w:val="center"/>
          </w:tcPr>
          <w:p w:rsidR="006D6D07" w:rsidRPr="005D43D7" w:rsidRDefault="00CE2B93" w:rsidP="00C50D06">
            <w:pPr>
              <w:spacing w:before="0"/>
              <w:jc w:val="center"/>
              <w:rPr>
                <w:rFonts w:cs="Arial"/>
                <w:sz w:val="22"/>
              </w:rPr>
            </w:pPr>
            <w:r>
              <w:rPr>
                <w:rFonts w:cs="Arial"/>
                <w:sz w:val="22"/>
              </w:rPr>
              <w:t>Ostatní</w:t>
            </w:r>
          </w:p>
        </w:tc>
        <w:tc>
          <w:tcPr>
            <w:tcW w:w="1929" w:type="dxa"/>
            <w:tcBorders>
              <w:top w:val="single" w:sz="4" w:space="0" w:color="auto"/>
              <w:left w:val="single" w:sz="4" w:space="0" w:color="auto"/>
              <w:bottom w:val="single" w:sz="4" w:space="0" w:color="auto"/>
              <w:right w:val="single" w:sz="4" w:space="0" w:color="auto"/>
            </w:tcBorders>
            <w:shd w:val="clear" w:color="auto" w:fill="ECECEC"/>
            <w:vAlign w:val="center"/>
          </w:tcPr>
          <w:p w:rsidR="006D6D07" w:rsidRPr="005D43D7" w:rsidRDefault="00CE2B93" w:rsidP="00C50D06">
            <w:pPr>
              <w:spacing w:before="0"/>
              <w:jc w:val="center"/>
              <w:rPr>
                <w:rFonts w:eastAsia="Arial Unicode MS" w:cs="Arial"/>
                <w:sz w:val="22"/>
              </w:rPr>
            </w:pPr>
            <w:r>
              <w:rPr>
                <w:rFonts w:eastAsia="Arial Unicode MS" w:cs="Arial"/>
                <w:sz w:val="22"/>
              </w:rPr>
              <w:t>6</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6D6D07" w:rsidRPr="005D43D7" w:rsidRDefault="00CE2B93" w:rsidP="00C50D06">
            <w:pPr>
              <w:spacing w:before="0"/>
              <w:jc w:val="center"/>
              <w:rPr>
                <w:rFonts w:eastAsia="Arial Unicode MS" w:cs="Arial"/>
                <w:sz w:val="22"/>
              </w:rPr>
            </w:pPr>
            <w:r>
              <w:rPr>
                <w:rFonts w:eastAsia="Arial Unicode MS" w:cs="Arial"/>
                <w:sz w:val="22"/>
              </w:rPr>
              <w:t>5,1</w:t>
            </w:r>
          </w:p>
        </w:tc>
      </w:tr>
      <w:tr w:rsidR="006D6D07" w:rsidRPr="005D43D7" w:rsidTr="00C50D06">
        <w:trPr>
          <w:trHeight w:val="340"/>
        </w:trPr>
        <w:tc>
          <w:tcPr>
            <w:tcW w:w="5640" w:type="dxa"/>
            <w:tcBorders>
              <w:top w:val="single" w:sz="4" w:space="0" w:color="auto"/>
              <w:left w:val="single" w:sz="4" w:space="0" w:color="auto"/>
              <w:bottom w:val="single" w:sz="4" w:space="0" w:color="auto"/>
              <w:right w:val="single" w:sz="4" w:space="0" w:color="auto"/>
            </w:tcBorders>
            <w:shd w:val="clear" w:color="auto" w:fill="92D050"/>
            <w:vAlign w:val="center"/>
          </w:tcPr>
          <w:p w:rsidR="006D6D07" w:rsidRPr="005D43D7" w:rsidRDefault="006D6D07" w:rsidP="00C50D06">
            <w:pPr>
              <w:spacing w:before="0"/>
              <w:jc w:val="center"/>
              <w:rPr>
                <w:rFonts w:cs="Arial"/>
                <w:b/>
                <w:bCs/>
                <w:sz w:val="22"/>
              </w:rPr>
            </w:pPr>
            <w:r w:rsidRPr="005D43D7">
              <w:rPr>
                <w:rFonts w:cs="Arial"/>
                <w:b/>
                <w:bCs/>
                <w:sz w:val="22"/>
              </w:rPr>
              <w:t>Celkem</w:t>
            </w:r>
          </w:p>
        </w:tc>
        <w:tc>
          <w:tcPr>
            <w:tcW w:w="1929" w:type="dxa"/>
            <w:tcBorders>
              <w:top w:val="single" w:sz="4" w:space="0" w:color="auto"/>
              <w:left w:val="single" w:sz="4" w:space="0" w:color="auto"/>
              <w:bottom w:val="single" w:sz="4" w:space="0" w:color="auto"/>
              <w:right w:val="single" w:sz="4" w:space="0" w:color="auto"/>
            </w:tcBorders>
            <w:shd w:val="clear" w:color="auto" w:fill="92D050"/>
            <w:vAlign w:val="center"/>
          </w:tcPr>
          <w:p w:rsidR="006D6D07" w:rsidRPr="005D43D7" w:rsidRDefault="00CE2B93" w:rsidP="00C50D06">
            <w:pPr>
              <w:spacing w:before="0"/>
              <w:jc w:val="center"/>
              <w:rPr>
                <w:rFonts w:eastAsia="Arial Unicode MS" w:cs="Arial"/>
                <w:b/>
                <w:bCs/>
                <w:sz w:val="22"/>
              </w:rPr>
            </w:pPr>
            <w:r>
              <w:rPr>
                <w:rFonts w:eastAsia="Arial Unicode MS" w:cs="Arial"/>
                <w:b/>
                <w:bCs/>
                <w:sz w:val="22"/>
              </w:rPr>
              <w:t>118</w:t>
            </w:r>
          </w:p>
        </w:tc>
        <w:tc>
          <w:tcPr>
            <w:tcW w:w="1626" w:type="dxa"/>
            <w:tcBorders>
              <w:top w:val="single" w:sz="4" w:space="0" w:color="auto"/>
              <w:left w:val="single" w:sz="4" w:space="0" w:color="auto"/>
              <w:bottom w:val="single" w:sz="4" w:space="0" w:color="auto"/>
              <w:right w:val="single" w:sz="4" w:space="0" w:color="auto"/>
            </w:tcBorders>
            <w:shd w:val="clear" w:color="auto" w:fill="92D050"/>
            <w:vAlign w:val="center"/>
          </w:tcPr>
          <w:p w:rsidR="006D6D07" w:rsidRPr="005D43D7" w:rsidRDefault="006D6D07" w:rsidP="00C50D06">
            <w:pPr>
              <w:spacing w:before="0"/>
              <w:jc w:val="center"/>
              <w:rPr>
                <w:rFonts w:eastAsia="Arial Unicode MS" w:cs="Arial"/>
                <w:b/>
                <w:bCs/>
                <w:sz w:val="22"/>
              </w:rPr>
            </w:pPr>
            <w:r w:rsidRPr="005D43D7">
              <w:rPr>
                <w:rFonts w:cs="Arial" w:hint="eastAsia"/>
                <w:b/>
                <w:bCs/>
                <w:sz w:val="22"/>
              </w:rPr>
              <w:t>100</w:t>
            </w:r>
            <w:r w:rsidRPr="005D43D7">
              <w:rPr>
                <w:rFonts w:cs="Arial"/>
                <w:b/>
                <w:bCs/>
                <w:sz w:val="22"/>
              </w:rPr>
              <w:t>,0</w:t>
            </w:r>
          </w:p>
        </w:tc>
      </w:tr>
    </w:tbl>
    <w:p w:rsidR="006D6D07" w:rsidRDefault="006D6D07" w:rsidP="00C50D06">
      <w:pPr>
        <w:spacing w:before="0"/>
        <w:jc w:val="right"/>
        <w:rPr>
          <w:sz w:val="16"/>
        </w:rPr>
      </w:pPr>
      <w:r>
        <w:rPr>
          <w:sz w:val="16"/>
        </w:rPr>
        <w:t>Tabulka: AUGUR Consulting</w:t>
      </w:r>
    </w:p>
    <w:p w:rsidR="006D6D07" w:rsidRDefault="006D6D07" w:rsidP="00C50D06">
      <w:pPr>
        <w:rPr>
          <w:sz w:val="20"/>
        </w:rPr>
      </w:pPr>
      <w:r w:rsidRPr="00222E47">
        <w:rPr>
          <w:b/>
          <w:sz w:val="20"/>
        </w:rPr>
        <w:t xml:space="preserve">Ostatní </w:t>
      </w:r>
      <w:r w:rsidRPr="00222E47">
        <w:rPr>
          <w:sz w:val="20"/>
        </w:rPr>
        <w:t>(tj. odpovědi se stati</w:t>
      </w:r>
      <w:r>
        <w:rPr>
          <w:sz w:val="20"/>
        </w:rPr>
        <w:t>sticky nevýznamnými četnostmi):</w:t>
      </w:r>
      <w:r w:rsidR="00CE2B93">
        <w:rPr>
          <w:sz w:val="20"/>
        </w:rPr>
        <w:t xml:space="preserve"> zatím nevím, církev apod.</w:t>
      </w:r>
    </w:p>
    <w:p w:rsidR="009F52AB" w:rsidRDefault="000C3428" w:rsidP="00C50D06">
      <w:r>
        <w:t>Jak vyp</w:t>
      </w:r>
      <w:r w:rsidR="00331E25">
        <w:t>lývá z následujícího grafu č. 26</w:t>
      </w:r>
      <w:r>
        <w:t>, více než sedm z deseti respondentů (71,9 %) má určitě nebo spíše dostatek aktuálních informací o sociálních službách a možnostech pomoci. Necelá pětina dotázaných (17,5 %) projevila spíše nespokojenost s dostatkem informací a měli možnost vyjádřit se, jaké informace jim konkrétně chybí. Více než polovina z nich (56,8 %) uvedla, že jim schází přehled služeb, které mohou pomoci v jejich situaci. Dále pak postrádají, jaké jsou dávky/příspěvky, o které lze žádat (na péči, přestavbu bytu, na dopravu apod.) (43,2 %)</w:t>
      </w:r>
      <w:r w:rsidR="00ED6CBF">
        <w:t xml:space="preserve">, informace o možnostech zaměstnání (35,1 %), úhrady pojišťoven za služby a pomůcky (32,4 %), </w:t>
      </w:r>
      <w:r w:rsidR="00F563CC">
        <w:t>jaké mohou využít finanční možnosti, kde získat finanční podporu (29,7 %), jaké jsou možnosti léčby a pomoci (27,0 %), informace o možnostech trávení volného času (18,9 %) a informace o možnostech psychosociální podpory (16,2 %).</w:t>
      </w:r>
      <w:r w:rsidR="00331E25">
        <w:t xml:space="preserve"> Výsledky dokumentuje graf č. 27</w:t>
      </w:r>
      <w:r w:rsidR="00F563CC">
        <w:t>.</w:t>
      </w:r>
    </w:p>
    <w:p w:rsidR="00331E25" w:rsidRDefault="00331E25" w:rsidP="00C50D06"/>
    <w:p w:rsidR="00331E25" w:rsidRDefault="00331E25" w:rsidP="00331E25">
      <w:pPr>
        <w:pStyle w:val="Titulek"/>
        <w:keepNext/>
      </w:pPr>
      <w:bookmarkStart w:id="104" w:name="_Toc367357528"/>
      <w:r>
        <w:t xml:space="preserve">Graf č. </w:t>
      </w:r>
      <w:r w:rsidR="00EE3646">
        <w:fldChar w:fldCharType="begin"/>
      </w:r>
      <w:r w:rsidR="00EE3646">
        <w:instrText xml:space="preserve"> SEQ Graf_č. \* ARABIC </w:instrText>
      </w:r>
      <w:r w:rsidR="00EE3646">
        <w:fldChar w:fldCharType="separate"/>
      </w:r>
      <w:r w:rsidR="00B16210">
        <w:rPr>
          <w:noProof/>
        </w:rPr>
        <w:t>26</w:t>
      </w:r>
      <w:r w:rsidR="00EE3646">
        <w:rPr>
          <w:noProof/>
        </w:rPr>
        <w:fldChar w:fldCharType="end"/>
      </w:r>
      <w:r>
        <w:t xml:space="preserve">: </w:t>
      </w:r>
      <w:r>
        <w:rPr>
          <w:b w:val="0"/>
        </w:rPr>
        <w:t>Dostatek informací o sociálních službách a možnostech pomoci.</w:t>
      </w:r>
      <w:bookmarkEnd w:id="104"/>
    </w:p>
    <w:p w:rsidR="009F52AB" w:rsidRDefault="00191CC4" w:rsidP="00C50D06">
      <w:pPr>
        <w:rPr>
          <w:b/>
          <w:sz w:val="20"/>
        </w:rPr>
      </w:pPr>
      <w:r w:rsidRPr="00640D8E">
        <w:rPr>
          <w:noProof/>
          <w:lang w:eastAsia="cs-CZ"/>
        </w:rPr>
        <mc:AlternateContent>
          <mc:Choice Requires="wps">
            <w:drawing>
              <wp:anchor distT="0" distB="0" distL="114300" distR="114300" simplePos="0" relativeHeight="251715584" behindDoc="0" locked="0" layoutInCell="1" allowOverlap="1" wp14:anchorId="32C1150E" wp14:editId="345178A7">
                <wp:simplePos x="0" y="0"/>
                <wp:positionH relativeFrom="column">
                  <wp:posOffset>80645</wp:posOffset>
                </wp:positionH>
                <wp:positionV relativeFrom="paragraph">
                  <wp:posOffset>1461770</wp:posOffset>
                </wp:positionV>
                <wp:extent cx="5592445" cy="368935"/>
                <wp:effectExtent l="0" t="0" r="0" b="0"/>
                <wp:wrapNone/>
                <wp:docPr id="13"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F3348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97,3 %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38" type="#_x0000_t202" style="position:absolute;left:0;text-align:left;margin-left:6.35pt;margin-top:115.1pt;width:440.35pt;height:29.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" filled="f" stroked="f">
                <v:textbox style="mso-fit-shape-to-text:t">
                  <w:txbxContent>
                    <w:p w:rsidR="00D822DB" w:rsidRDefault="00D822DB" w:rsidP="00F3348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97,3 %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9F52AB" w:rsidRPr="008E5461">
        <w:rPr>
          <w:noProof/>
          <w:color w:val="FF0000"/>
          <w:lang w:eastAsia="cs-CZ"/>
        </w:rPr>
        <w:drawing>
          <wp:inline distT="0" distB="0" distL="0" distR="0" wp14:anchorId="348E6BD8" wp14:editId="56CC1AC1">
            <wp:extent cx="5752214" cy="1658679"/>
            <wp:effectExtent l="0" t="0" r="20320" b="17780"/>
            <wp:docPr id="2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31E25" w:rsidRDefault="00331E25" w:rsidP="00C50D06"/>
    <w:p w:rsidR="00331E25" w:rsidRDefault="00331E25" w:rsidP="00331E25">
      <w:pPr>
        <w:pStyle w:val="Titulek"/>
        <w:keepNext/>
      </w:pPr>
      <w:bookmarkStart w:id="105" w:name="_Toc367357529"/>
      <w:r>
        <w:t xml:space="preserve">Graf č. </w:t>
      </w:r>
      <w:r w:rsidR="00EE3646">
        <w:fldChar w:fldCharType="begin"/>
      </w:r>
      <w:r w:rsidR="00EE3646">
        <w:instrText xml:space="preserve"> SEQ Graf_č. \* ARABIC </w:instrText>
      </w:r>
      <w:r w:rsidR="00EE3646">
        <w:fldChar w:fldCharType="separate"/>
      </w:r>
      <w:r w:rsidR="0072544D">
        <w:rPr>
          <w:noProof/>
        </w:rPr>
        <w:t>27</w:t>
      </w:r>
      <w:r w:rsidR="00EE3646">
        <w:rPr>
          <w:noProof/>
        </w:rPr>
        <w:fldChar w:fldCharType="end"/>
      </w:r>
      <w:r>
        <w:t>:</w:t>
      </w:r>
      <w:r>
        <w:rPr>
          <w:b w:val="0"/>
        </w:rPr>
        <w:t xml:space="preserve"> Chybějící informace.</w:t>
      </w:r>
      <w:bookmarkEnd w:id="105"/>
    </w:p>
    <w:p w:rsidR="009F52AB" w:rsidRDefault="00191CC4" w:rsidP="00C50D06">
      <w:pPr>
        <w:rPr>
          <w:b/>
          <w:sz w:val="20"/>
        </w:rPr>
      </w:pPr>
      <w:r w:rsidRPr="00640D8E">
        <w:rPr>
          <w:noProof/>
          <w:lang w:eastAsia="cs-CZ"/>
        </w:rPr>
        <mc:AlternateContent>
          <mc:Choice Requires="wps">
            <w:drawing>
              <wp:anchor distT="0" distB="0" distL="114300" distR="114300" simplePos="0" relativeHeight="251717632" behindDoc="0" locked="0" layoutInCell="1" allowOverlap="1" wp14:anchorId="6F2B3D6B" wp14:editId="68E033DF">
                <wp:simplePos x="0" y="0"/>
                <wp:positionH relativeFrom="column">
                  <wp:posOffset>69850</wp:posOffset>
                </wp:positionH>
                <wp:positionV relativeFrom="paragraph">
                  <wp:posOffset>3095625</wp:posOffset>
                </wp:positionV>
                <wp:extent cx="5592445" cy="368935"/>
                <wp:effectExtent l="0" t="0" r="0" b="0"/>
                <wp:wrapNone/>
                <wp:docPr id="16"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F3348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25,2 %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39" type="#_x0000_t202" style="position:absolute;left:0;text-align:left;margin-left:5.5pt;margin-top:243.75pt;width:440.35pt;height:29.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" filled="f" stroked="f">
                <v:textbox style="mso-fit-shape-to-text:t">
                  <w:txbxContent>
                    <w:p w:rsidR="00D822DB" w:rsidRDefault="00D822DB" w:rsidP="00F3348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25,2 %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9F52AB" w:rsidRPr="00792D89">
        <w:rPr>
          <w:noProof/>
          <w:color w:val="FF0000"/>
          <w:lang w:eastAsia="cs-CZ"/>
        </w:rPr>
        <w:drawing>
          <wp:inline distT="0" distB="0" distL="0" distR="0" wp14:anchorId="7C32D18B" wp14:editId="449DB20A">
            <wp:extent cx="5730949" cy="3349256"/>
            <wp:effectExtent l="0" t="0" r="22225" b="22860"/>
            <wp:docPr id="2059"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76239" w:rsidRDefault="00D76239" w:rsidP="00C50D06">
      <w:pPr>
        <w:rPr>
          <w:b/>
          <w:sz w:val="20"/>
        </w:rPr>
      </w:pPr>
    </w:p>
    <w:p w:rsidR="00CE2B93" w:rsidRDefault="00CE2B93" w:rsidP="00D76239"/>
    <w:p w:rsidR="00191CC4" w:rsidRDefault="00D76239" w:rsidP="00C50D06">
      <w:r>
        <w:t xml:space="preserve">Podle názoru více než třetiny respondentů (34,7 %) by k lepší informovanosti o sociálních a souvisejících službách a možnostech pomoci pomohl </w:t>
      </w:r>
      <w:r w:rsidRPr="00C326EE">
        <w:rPr>
          <w:b/>
        </w:rPr>
        <w:t>katalog sociálních a dalších souvisejících služeb.</w:t>
      </w:r>
      <w:r>
        <w:t xml:space="preserve"> Více než čtvrtina respondentů se domnívá, že by pomohlo více informací od lékařů (27,4 %), z týdeníku Velkomeziříčsko – např. pravidelná rubrika (26,7 %) nebo informační letáčky s nabídkou sociálních služeb přímo do schránky (25,3 %). Dále pak </w:t>
      </w:r>
      <w:r w:rsidR="00A94441">
        <w:t>akce poskytovatelů sociálních služeb, kde se potkávají lidé se zdravotním postižením se zdravými spoluobčany a společně se baví, soutěží, vyměňují si zkušenosti apod. (19,2 %), informační centrum speciálně zaměřené n</w:t>
      </w:r>
      <w:r w:rsidR="005632FE">
        <w:t>a sociální oblast – informace o </w:t>
      </w:r>
      <w:r w:rsidR="00A94441">
        <w:t>poskytovatelích a sociálních službách, možnostech pomoci, sociálních dávkách apod. (15,8 %), stejně početná skupina se domnívá (15,8 %), že by pomohlo více informací přímo u poskytovatelů sociálních služeb (15,8 %) nebo na webové stránce MěÚ. Výsledky jsou uv</w:t>
      </w:r>
      <w:r w:rsidR="00191CC4">
        <w:t>edeny v následujícím grafu č. 28</w:t>
      </w:r>
      <w:r w:rsidR="00A94441">
        <w:t>.</w:t>
      </w:r>
    </w:p>
    <w:p w:rsidR="00191CC4" w:rsidRDefault="00191CC4" w:rsidP="00C50D06"/>
    <w:p w:rsidR="00191CC4" w:rsidRDefault="00191CC4" w:rsidP="00191CC4">
      <w:pPr>
        <w:pStyle w:val="Titulek"/>
        <w:keepNext/>
      </w:pPr>
      <w:bookmarkStart w:id="106" w:name="_Toc367357530"/>
      <w:r>
        <w:t xml:space="preserve">Graf č. </w:t>
      </w:r>
      <w:r w:rsidR="00EE3646">
        <w:fldChar w:fldCharType="begin"/>
      </w:r>
      <w:r w:rsidR="00EE3646">
        <w:instrText xml:space="preserve"> SEQ Graf_č. \* ARABIC </w:instrText>
      </w:r>
      <w:r w:rsidR="00EE3646">
        <w:fldChar w:fldCharType="separate"/>
      </w:r>
      <w:r w:rsidR="00B16210">
        <w:rPr>
          <w:noProof/>
        </w:rPr>
        <w:t>28</w:t>
      </w:r>
      <w:r w:rsidR="00EE3646">
        <w:rPr>
          <w:noProof/>
        </w:rPr>
        <w:fldChar w:fldCharType="end"/>
      </w:r>
      <w:r>
        <w:t>:</w:t>
      </w:r>
      <w:r>
        <w:rPr>
          <w:b w:val="0"/>
        </w:rPr>
        <w:t xml:space="preserve"> Podněty k lepší informovanosti o sociálních a souvisejících službách.</w:t>
      </w:r>
      <w:bookmarkEnd w:id="106"/>
    </w:p>
    <w:p w:rsidR="009F52AB" w:rsidRDefault="00191CC4" w:rsidP="00C50D06">
      <w:pPr>
        <w:rPr>
          <w:b/>
          <w:sz w:val="20"/>
        </w:rPr>
      </w:pPr>
      <w:r w:rsidRPr="00640D8E">
        <w:rPr>
          <w:noProof/>
          <w:lang w:eastAsia="cs-CZ"/>
        </w:rPr>
        <mc:AlternateContent>
          <mc:Choice Requires="wps">
            <w:drawing>
              <wp:anchor distT="0" distB="0" distL="114300" distR="114300" simplePos="0" relativeHeight="251719680" behindDoc="0" locked="0" layoutInCell="1" allowOverlap="1" wp14:anchorId="70C3FCBA" wp14:editId="29C35645">
                <wp:simplePos x="0" y="0"/>
                <wp:positionH relativeFrom="column">
                  <wp:posOffset>83820</wp:posOffset>
                </wp:positionH>
                <wp:positionV relativeFrom="paragraph">
                  <wp:posOffset>5003800</wp:posOffset>
                </wp:positionV>
                <wp:extent cx="5592445" cy="368935"/>
                <wp:effectExtent l="0" t="0" r="0" b="0"/>
                <wp:wrapNone/>
                <wp:docPr id="18"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F37C4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40" type="#_x0000_t202" style="position:absolute;left:0;text-align:left;margin-left:6.6pt;margin-top:394pt;width:440.35pt;height:29.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" filled="f" stroked="f">
                <v:textbox style="mso-fit-shape-to-text:t">
                  <w:txbxContent>
                    <w:p w:rsidR="00D822DB" w:rsidRDefault="00D822DB" w:rsidP="00F37C4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776338" w:rsidRPr="00792D89">
        <w:rPr>
          <w:noProof/>
          <w:color w:val="FF0000"/>
          <w:lang w:eastAsia="cs-CZ"/>
        </w:rPr>
        <w:drawing>
          <wp:inline distT="0" distB="0" distL="0" distR="0" wp14:anchorId="45D161B8" wp14:editId="0C9EA2B8">
            <wp:extent cx="5730949" cy="5199321"/>
            <wp:effectExtent l="0" t="0" r="22225" b="20955"/>
            <wp:docPr id="2061"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C195E" w:rsidRDefault="007C195E" w:rsidP="00C50D06">
      <w:pPr>
        <w:rPr>
          <w:sz w:val="20"/>
          <w:szCs w:val="20"/>
        </w:rPr>
      </w:pPr>
      <w:r w:rsidRPr="007C195E">
        <w:rPr>
          <w:b/>
          <w:noProof/>
          <w:sz w:val="20"/>
          <w:szCs w:val="20"/>
          <w:lang w:eastAsia="cs-CZ"/>
        </w:rPr>
        <mc:AlternateContent>
          <mc:Choice Requires="wps">
            <w:drawing>
              <wp:anchor distT="0" distB="0" distL="114300" distR="114300" simplePos="0" relativeHeight="251691008" behindDoc="0" locked="0" layoutInCell="1" allowOverlap="1" wp14:anchorId="3CD51C46" wp14:editId="56AA8272">
                <wp:simplePos x="0" y="0"/>
                <wp:positionH relativeFrom="column">
                  <wp:posOffset>252376</wp:posOffset>
                </wp:positionH>
                <wp:positionV relativeFrom="paragraph">
                  <wp:posOffset>7659296</wp:posOffset>
                </wp:positionV>
                <wp:extent cx="5592445" cy="368935"/>
                <wp:effectExtent l="0" t="0" r="0" b="0"/>
                <wp:wrapNone/>
                <wp:docPr id="2064"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7C195E">
                            <w:pPr>
                              <w:pStyle w:val="Normlnweb"/>
                              <w:spacing w:before="0" w:beforeAutospacing="0" w:after="0" w:afterAutospacing="0"/>
                            </w:pPr>
                            <w:r>
                              <w:rPr>
                                <w:rFonts w:asciiTheme="minorHAnsi" w:hAnsi="Calibri" w:cstheme="minorBidi"/>
                                <w:color w:val="A6A6A6" w:themeColor="background1" w:themeShade="A6"/>
                                <w:kern w:val="24"/>
                                <w:sz w:val="18"/>
                                <w:szCs w:val="18"/>
                              </w:rPr>
                              <w:t>n =, odpovědělo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41" type="#_x0000_t202" style="position:absolute;left:0;text-align:left;margin-left:19.85pt;margin-top:603.1pt;width:440.35pt;height:29.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" filled="f" stroked="f">
                <v:textbox style="mso-fit-shape-to-text:t">
                  <w:txbxContent>
                    <w:p w:rsidR="00D822DB" w:rsidRDefault="00D822DB" w:rsidP="007C195E">
                      <w:pPr>
                        <w:pStyle w:val="Normlnweb"/>
                        <w:spacing w:before="0" w:beforeAutospacing="0" w:after="0" w:afterAutospacing="0"/>
                      </w:pPr>
                      <w:r>
                        <w:rPr>
                          <w:rFonts w:asciiTheme="minorHAnsi" w:hAnsi="Calibri" w:cstheme="minorBidi"/>
                          <w:color w:val="A6A6A6" w:themeColor="background1" w:themeShade="A6"/>
                          <w:kern w:val="24"/>
                          <w:sz w:val="18"/>
                          <w:szCs w:val="18"/>
                        </w:rPr>
                        <w:t>n =, odpovědělo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Pr="007C195E">
        <w:rPr>
          <w:b/>
          <w:sz w:val="20"/>
          <w:szCs w:val="20"/>
        </w:rPr>
        <w:t xml:space="preserve">Jiné: </w:t>
      </w:r>
      <w:r w:rsidR="00F37C4E">
        <w:rPr>
          <w:sz w:val="20"/>
          <w:szCs w:val="20"/>
        </w:rPr>
        <w:t>kulturní akce.</w:t>
      </w:r>
    </w:p>
    <w:p w:rsidR="00A94441" w:rsidRDefault="00A94441" w:rsidP="00C50D06">
      <w:pPr>
        <w:rPr>
          <w:sz w:val="20"/>
          <w:szCs w:val="20"/>
        </w:rPr>
      </w:pPr>
    </w:p>
    <w:p w:rsidR="00CE2B93" w:rsidRDefault="00CE2B93" w:rsidP="00A94441"/>
    <w:p w:rsidR="00BB2002" w:rsidRDefault="00A94441" w:rsidP="00C50D06">
      <w:r>
        <w:t xml:space="preserve">Podle názoru více než třetiny respondentů (35,4 %) pociťují osoby se zdravotním postižením jako </w:t>
      </w:r>
      <w:r w:rsidRPr="00C326EE">
        <w:rPr>
          <w:b/>
        </w:rPr>
        <w:t>největší problém</w:t>
      </w:r>
      <w:r>
        <w:t xml:space="preserve"> ve svém životě </w:t>
      </w:r>
      <w:r w:rsidRPr="00C326EE">
        <w:rPr>
          <w:b/>
        </w:rPr>
        <w:t>samostatný pohyb po městě</w:t>
      </w:r>
      <w:r w:rsidR="005632FE">
        <w:t> </w:t>
      </w:r>
      <w:r w:rsidR="005632FE">
        <w:noBreakHyphen/>
        <w:t> </w:t>
      </w:r>
      <w:r w:rsidR="005B7D3E" w:rsidRPr="005B7D3E">
        <w:rPr>
          <w:b/>
        </w:rPr>
        <w:t>bariéry</w:t>
      </w:r>
      <w:r w:rsidR="005B7D3E">
        <w:t xml:space="preserve"> </w:t>
      </w:r>
      <w:r>
        <w:t xml:space="preserve">(např. chybí bezbariérové přechody, nastupování do MHD apod.). Dále pak omezení kontaktu s okolím, osamělost (28,6 %), nemožnost postarat se sám o sebe – závislost na jiné osobě (27,9 %), </w:t>
      </w:r>
      <w:r w:rsidR="005111C2">
        <w:t>om</w:t>
      </w:r>
      <w:r w:rsidR="005632FE">
        <w:t>ezené možnosti zaměstnání (25,2 </w:t>
      </w:r>
      <w:r w:rsidR="005111C2">
        <w:t>%). Čtvrtina respondentů se domnívá, že pro zdravotně postižené je problémem potřeba samostatně si vyřídit osobní záležitosti na úřadech (tlumočení do znakové řeči, asistence či doprovod, v bankách nehlásí číslo klienta a přepážky apod.) (21,1 %), nedostatek bezbariérových přístupů (19,7 %) a návštěvy u lékaře (19,7 %). Dále pak možnosti trávení volného času (15,0 %), na</w:t>
      </w:r>
      <w:r w:rsidR="005632FE">
        <w:t>vazování vztahů (13,6 </w:t>
      </w:r>
      <w:r w:rsidR="005111C2">
        <w:t xml:space="preserve">%), nezodpovědné chování okolí např. parkování na místech vyhrazených pro osoby se zdravotním postižením (12,9 %) také nedostatek parkovacích míst pro osoby se zdravotním postižením (12,9 %).  Necelá desetina respondentů </w:t>
      </w:r>
      <w:r w:rsidR="00C77E5B">
        <w:t xml:space="preserve">(9,5 %) </w:t>
      </w:r>
      <w:r w:rsidR="005111C2">
        <w:t>zastává názor</w:t>
      </w:r>
      <w:r w:rsidR="00C77E5B">
        <w:t xml:space="preserve">, že problémem je nedostatečná nabídka míst pro setkávání a kulturní vyžití (restaurace, koncertní sály apod.), malá nabídka vzdělávání pro osoby s handicapem a běžné nákupy. </w:t>
      </w:r>
      <w:r>
        <w:t>Detailní výsledky jsou u</w:t>
      </w:r>
      <w:r w:rsidR="005111C2">
        <w:t>v</w:t>
      </w:r>
      <w:r w:rsidR="005632FE">
        <w:t>edeny v následujícím grafu </w:t>
      </w:r>
      <w:r w:rsidR="00BB2002">
        <w:t>č. 29</w:t>
      </w:r>
      <w:r w:rsidR="00CE2B93">
        <w:t>.</w:t>
      </w:r>
      <w:r w:rsidR="00BB2002">
        <w:t xml:space="preserve"> </w:t>
      </w:r>
    </w:p>
    <w:p w:rsidR="00BB2002" w:rsidRDefault="00BB2002" w:rsidP="00BB2002">
      <w:pPr>
        <w:pStyle w:val="Titulek"/>
        <w:keepNext/>
      </w:pPr>
      <w:bookmarkStart w:id="107" w:name="_Toc367357531"/>
      <w:r>
        <w:t xml:space="preserve">Graf č. </w:t>
      </w:r>
      <w:r w:rsidR="00EE3646">
        <w:fldChar w:fldCharType="begin"/>
      </w:r>
      <w:r w:rsidR="00EE3646">
        <w:instrText xml:space="preserve"> SEQ Graf_č. \* ARABIC </w:instrText>
      </w:r>
      <w:r w:rsidR="00EE3646">
        <w:fldChar w:fldCharType="separate"/>
      </w:r>
      <w:r w:rsidR="00B16210">
        <w:rPr>
          <w:noProof/>
        </w:rPr>
        <w:t>29</w:t>
      </w:r>
      <w:r w:rsidR="00EE3646">
        <w:rPr>
          <w:noProof/>
        </w:rPr>
        <w:fldChar w:fldCharType="end"/>
      </w:r>
      <w:r>
        <w:t>:</w:t>
      </w:r>
      <w:r>
        <w:rPr>
          <w:b w:val="0"/>
        </w:rPr>
        <w:t xml:space="preserve"> Největší problémy v životě osob se zdravotním postižením.</w:t>
      </w:r>
      <w:bookmarkEnd w:id="107"/>
    </w:p>
    <w:p w:rsidR="00776338" w:rsidRDefault="00BB2002" w:rsidP="00C50D06">
      <w:pPr>
        <w:rPr>
          <w:b/>
          <w:sz w:val="20"/>
        </w:rPr>
      </w:pPr>
      <w:r w:rsidRPr="00640D8E">
        <w:rPr>
          <w:noProof/>
          <w:lang w:eastAsia="cs-CZ"/>
        </w:rPr>
        <mc:AlternateContent>
          <mc:Choice Requires="wps">
            <w:drawing>
              <wp:anchor distT="0" distB="0" distL="114300" distR="114300" simplePos="0" relativeHeight="251721728" behindDoc="0" locked="0" layoutInCell="1" allowOverlap="1" wp14:anchorId="665B2129" wp14:editId="51140240">
                <wp:simplePos x="0" y="0"/>
                <wp:positionH relativeFrom="column">
                  <wp:posOffset>65405</wp:posOffset>
                </wp:positionH>
                <wp:positionV relativeFrom="paragraph">
                  <wp:posOffset>7593965</wp:posOffset>
                </wp:positionV>
                <wp:extent cx="5592445" cy="368935"/>
                <wp:effectExtent l="0" t="0" r="0" b="0"/>
                <wp:wrapNone/>
                <wp:docPr id="2079"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873A8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100 %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42" type="#_x0000_t202" style="position:absolute;left:0;text-align:left;margin-left:5.15pt;margin-top:597.95pt;width:440.35pt;height:29.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" filled="f" stroked="f">
                <v:textbox style="mso-fit-shape-to-text:t">
                  <w:txbxContent>
                    <w:p w:rsidR="00D822DB" w:rsidRDefault="00D822DB" w:rsidP="00873A8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100 %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776338" w:rsidRPr="00792D89">
        <w:rPr>
          <w:noProof/>
          <w:color w:val="FF0000"/>
          <w:lang w:eastAsia="cs-CZ"/>
        </w:rPr>
        <w:drawing>
          <wp:inline distT="0" distB="0" distL="0" distR="0" wp14:anchorId="07A741B9" wp14:editId="3690FBF9">
            <wp:extent cx="5730949" cy="7804298"/>
            <wp:effectExtent l="0" t="0" r="22225" b="25400"/>
            <wp:docPr id="2063"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C195E" w:rsidRDefault="007C195E" w:rsidP="00C50D06">
      <w:pPr>
        <w:rPr>
          <w:b/>
          <w:sz w:val="20"/>
        </w:rPr>
      </w:pPr>
      <w:r>
        <w:rPr>
          <w:b/>
          <w:sz w:val="20"/>
        </w:rPr>
        <w:t xml:space="preserve">Jiné: </w:t>
      </w:r>
      <w:r w:rsidR="00873A8E" w:rsidRPr="00873A8E">
        <w:rPr>
          <w:sz w:val="20"/>
        </w:rPr>
        <w:t xml:space="preserve">finanční </w:t>
      </w:r>
      <w:r w:rsidR="00873A8E">
        <w:rPr>
          <w:sz w:val="20"/>
        </w:rPr>
        <w:t xml:space="preserve">problémy, málo parkovišť pro postižené, zdravotní problémy, vzdálenost do obchodu s potravinami. </w:t>
      </w:r>
    </w:p>
    <w:p w:rsidR="00CE2B93" w:rsidRDefault="00CE2B93" w:rsidP="00CE2B93">
      <w:pPr>
        <w:rPr>
          <w:rFonts w:cs="Arial"/>
        </w:rPr>
      </w:pPr>
      <w:r>
        <w:t xml:space="preserve">Druhy pomoci, které by pomohly usnadnit život </w:t>
      </w:r>
      <w:r w:rsidR="00411526">
        <w:t>osobám se zdravotním postižením a </w:t>
      </w:r>
      <w:r>
        <w:t xml:space="preserve">jejich blízkému okolí, byly identifikovány </w:t>
      </w:r>
      <w:r>
        <w:rPr>
          <w:rFonts w:cs="Arial"/>
        </w:rPr>
        <w:t xml:space="preserve">prostřednictvím volné otázky (bez nabízených variant odpovědí). </w:t>
      </w:r>
      <w:r w:rsidR="002165DA">
        <w:rPr>
          <w:rFonts w:cs="Arial"/>
        </w:rPr>
        <w:t xml:space="preserve">Respondenti mohli uvést až tři druhy pomoci. </w:t>
      </w:r>
      <w:r>
        <w:rPr>
          <w:rFonts w:cs="Arial"/>
        </w:rPr>
        <w:t xml:space="preserve">Odpovědi byly kategorizovány a jsou uvedeny v následující tabulce č. </w:t>
      </w:r>
      <w:r w:rsidR="00BB2002">
        <w:rPr>
          <w:rFonts w:cs="Arial"/>
        </w:rPr>
        <w:t>3</w:t>
      </w:r>
      <w:r w:rsidR="00594151">
        <w:rPr>
          <w:rFonts w:cs="Arial"/>
        </w:rPr>
        <w:t>5</w:t>
      </w:r>
      <w:r>
        <w:rPr>
          <w:rFonts w:cs="Arial"/>
        </w:rPr>
        <w:t xml:space="preserve">. Nejvíce by </w:t>
      </w:r>
      <w:r w:rsidR="002165DA">
        <w:rPr>
          <w:rFonts w:cs="Arial"/>
        </w:rPr>
        <w:t xml:space="preserve">jim </w:t>
      </w:r>
      <w:r>
        <w:rPr>
          <w:rFonts w:cs="Arial"/>
        </w:rPr>
        <w:t xml:space="preserve">situaci </w:t>
      </w:r>
      <w:r w:rsidR="002165DA">
        <w:rPr>
          <w:rFonts w:cs="Arial"/>
        </w:rPr>
        <w:t>usnadnil snadnější pohyb pomocí bezbariérových přístupů, výtahů, lepších chodníků atd.</w:t>
      </w:r>
      <w:r w:rsidR="004119CF">
        <w:rPr>
          <w:rFonts w:cs="Arial"/>
        </w:rPr>
        <w:t>,</w:t>
      </w:r>
      <w:r>
        <w:rPr>
          <w:rFonts w:cs="Arial"/>
        </w:rPr>
        <w:t xml:space="preserve"> </w:t>
      </w:r>
      <w:r w:rsidR="004119CF">
        <w:rPr>
          <w:rFonts w:cs="Arial"/>
        </w:rPr>
        <w:t xml:space="preserve">dále pak </w:t>
      </w:r>
      <w:r>
        <w:rPr>
          <w:rFonts w:cs="Arial"/>
        </w:rPr>
        <w:t>sociální služba</w:t>
      </w:r>
      <w:r w:rsidR="004119CF">
        <w:rPr>
          <w:rFonts w:cs="Arial"/>
        </w:rPr>
        <w:t>, zaměstnání a více financí a lepší přístup lékařů, pečovatelů a okolí.</w:t>
      </w:r>
    </w:p>
    <w:p w:rsidR="00CE2B93" w:rsidRDefault="00CE2B93" w:rsidP="00C77E5B">
      <w:pPr>
        <w:pStyle w:val="Titulek"/>
        <w:keepNext/>
      </w:pPr>
    </w:p>
    <w:p w:rsidR="00BB2002" w:rsidRDefault="00BB2002" w:rsidP="00BB2002">
      <w:pPr>
        <w:pStyle w:val="Titulek"/>
        <w:keepNext/>
      </w:pPr>
      <w:bookmarkStart w:id="108" w:name="_Toc367794879"/>
      <w:r>
        <w:t xml:space="preserve">Tabulka č. </w:t>
      </w:r>
      <w:r w:rsidR="00EE3646">
        <w:fldChar w:fldCharType="begin"/>
      </w:r>
      <w:r w:rsidR="00EE3646">
        <w:instrText xml:space="preserve"> SEQ Tabulka_č. \* ARABIC </w:instrText>
      </w:r>
      <w:r w:rsidR="00EE3646">
        <w:fldChar w:fldCharType="separate"/>
      </w:r>
      <w:r w:rsidR="00594151">
        <w:rPr>
          <w:noProof/>
        </w:rPr>
        <w:t>35</w:t>
      </w:r>
      <w:r w:rsidR="00EE3646">
        <w:rPr>
          <w:noProof/>
        </w:rPr>
        <w:fldChar w:fldCharType="end"/>
      </w:r>
      <w:r>
        <w:t xml:space="preserve">: </w:t>
      </w:r>
      <w:r>
        <w:rPr>
          <w:b w:val="0"/>
        </w:rPr>
        <w:t>Druhy pomoci, které by pomohli usnadnit život.</w:t>
      </w:r>
      <w:bookmarkEnd w:id="108"/>
    </w:p>
    <w:tbl>
      <w:tblPr>
        <w:tblW w:w="91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640"/>
        <w:gridCol w:w="1929"/>
        <w:gridCol w:w="1626"/>
      </w:tblGrid>
      <w:tr w:rsidR="007C195E" w:rsidRPr="003612F2" w:rsidTr="00C50D06">
        <w:trPr>
          <w:cantSplit/>
          <w:trHeight w:val="871"/>
        </w:trPr>
        <w:tc>
          <w:tcPr>
            <w:tcW w:w="5640" w:type="dxa"/>
            <w:vMerge w:val="restart"/>
            <w:tcBorders>
              <w:top w:val="single" w:sz="4" w:space="0" w:color="auto"/>
              <w:left w:val="single" w:sz="4" w:space="0" w:color="auto"/>
            </w:tcBorders>
            <w:shd w:val="clear" w:color="auto" w:fill="92D050"/>
            <w:vAlign w:val="center"/>
          </w:tcPr>
          <w:p w:rsidR="007C195E" w:rsidRPr="003612F2" w:rsidRDefault="007C195E" w:rsidP="00C50D06">
            <w:pPr>
              <w:spacing w:before="0"/>
              <w:jc w:val="center"/>
              <w:rPr>
                <w:rFonts w:cs="Arial"/>
                <w:b/>
                <w:bCs/>
                <w:sz w:val="20"/>
                <w:szCs w:val="20"/>
              </w:rPr>
            </w:pPr>
            <w:r w:rsidRPr="003612F2">
              <w:rPr>
                <w:rFonts w:cs="Arial"/>
                <w:sz w:val="20"/>
                <w:szCs w:val="20"/>
              </w:rPr>
              <w:br w:type="page"/>
            </w:r>
            <w:r>
              <w:rPr>
                <w:rFonts w:cs="Arial"/>
                <w:b/>
              </w:rPr>
              <w:t>Můžete uvést, co by Vám ve Vaší situaci nejvíce pomohlo, co by Vám usnadnilo život?</w:t>
            </w:r>
          </w:p>
        </w:tc>
        <w:tc>
          <w:tcPr>
            <w:tcW w:w="3555"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6E17E5" w:rsidRDefault="007C195E" w:rsidP="006E17E5">
            <w:pPr>
              <w:spacing w:before="0"/>
              <w:jc w:val="center"/>
              <w:outlineLvl w:val="6"/>
              <w:rPr>
                <w:rFonts w:cs="Arial"/>
                <w:b/>
                <w:bCs/>
                <w:sz w:val="20"/>
                <w:szCs w:val="20"/>
              </w:rPr>
            </w:pPr>
            <w:r w:rsidRPr="003612F2">
              <w:rPr>
                <w:rFonts w:cs="Arial"/>
                <w:b/>
                <w:bCs/>
                <w:sz w:val="20"/>
                <w:szCs w:val="20"/>
              </w:rPr>
              <w:t xml:space="preserve">Na volnou otázku </w:t>
            </w:r>
            <w:r w:rsidRPr="003612F2">
              <w:rPr>
                <w:rFonts w:cs="Arial"/>
                <w:sz w:val="20"/>
                <w:szCs w:val="20"/>
              </w:rPr>
              <w:t>(otázka bez nabízených variant)</w:t>
            </w:r>
            <w:r w:rsidRPr="003612F2">
              <w:rPr>
                <w:rFonts w:cs="Arial"/>
                <w:b/>
                <w:bCs/>
                <w:sz w:val="20"/>
                <w:szCs w:val="20"/>
              </w:rPr>
              <w:t xml:space="preserve"> </w:t>
            </w:r>
          </w:p>
          <w:p w:rsidR="007C195E" w:rsidRPr="003612F2" w:rsidRDefault="007C195E" w:rsidP="006E17E5">
            <w:pPr>
              <w:spacing w:before="0"/>
              <w:jc w:val="center"/>
              <w:outlineLvl w:val="6"/>
              <w:rPr>
                <w:rFonts w:cs="Arial"/>
                <w:b/>
                <w:bCs/>
                <w:sz w:val="20"/>
                <w:szCs w:val="20"/>
              </w:rPr>
            </w:pPr>
            <w:r w:rsidRPr="003612F2">
              <w:rPr>
                <w:rFonts w:cs="Arial"/>
                <w:b/>
                <w:bCs/>
                <w:sz w:val="20"/>
                <w:szCs w:val="20"/>
              </w:rPr>
              <w:t>odpov</w:t>
            </w:r>
            <w:r w:rsidR="006E17E5">
              <w:rPr>
                <w:rFonts w:cs="Arial"/>
                <w:b/>
                <w:bCs/>
                <w:sz w:val="20"/>
                <w:szCs w:val="20"/>
              </w:rPr>
              <w:t>ě</w:t>
            </w:r>
            <w:r w:rsidRPr="003612F2">
              <w:rPr>
                <w:rFonts w:cs="Arial"/>
                <w:b/>
                <w:bCs/>
                <w:sz w:val="20"/>
                <w:szCs w:val="20"/>
              </w:rPr>
              <w:t>d</w:t>
            </w:r>
            <w:r w:rsidR="006E17E5">
              <w:rPr>
                <w:rFonts w:cs="Arial"/>
                <w:b/>
                <w:bCs/>
                <w:sz w:val="20"/>
                <w:szCs w:val="20"/>
              </w:rPr>
              <w:t>ě</w:t>
            </w:r>
            <w:r w:rsidRPr="003612F2">
              <w:rPr>
                <w:rFonts w:cs="Arial"/>
                <w:b/>
                <w:bCs/>
                <w:sz w:val="20"/>
                <w:szCs w:val="20"/>
              </w:rPr>
              <w:t xml:space="preserve">lo </w:t>
            </w:r>
            <w:r w:rsidR="006E17E5">
              <w:rPr>
                <w:rFonts w:cs="Arial"/>
                <w:b/>
                <w:bCs/>
                <w:sz w:val="20"/>
                <w:szCs w:val="20"/>
              </w:rPr>
              <w:t xml:space="preserve">59,9 </w:t>
            </w:r>
            <w:r w:rsidRPr="003612F2">
              <w:rPr>
                <w:rFonts w:cs="Arial"/>
                <w:b/>
                <w:bCs/>
                <w:sz w:val="20"/>
                <w:szCs w:val="20"/>
              </w:rPr>
              <w:t>% respondentů.</w:t>
            </w:r>
          </w:p>
        </w:tc>
      </w:tr>
      <w:tr w:rsidR="007C195E" w:rsidRPr="003612F2" w:rsidTr="00C50D06">
        <w:trPr>
          <w:cantSplit/>
          <w:trHeight w:val="72"/>
        </w:trPr>
        <w:tc>
          <w:tcPr>
            <w:tcW w:w="5640" w:type="dxa"/>
            <w:vMerge/>
            <w:tcBorders>
              <w:left w:val="single" w:sz="4" w:space="0" w:color="auto"/>
              <w:bottom w:val="single" w:sz="4" w:space="0" w:color="auto"/>
            </w:tcBorders>
            <w:shd w:val="clear" w:color="auto" w:fill="92D050"/>
            <w:vAlign w:val="center"/>
          </w:tcPr>
          <w:p w:rsidR="007C195E" w:rsidRPr="003612F2" w:rsidRDefault="007C195E" w:rsidP="00C50D06">
            <w:pPr>
              <w:spacing w:before="0"/>
              <w:jc w:val="center"/>
              <w:rPr>
                <w:rFonts w:cs="Arial"/>
                <w:color w:val="FF0000"/>
                <w:sz w:val="20"/>
                <w:szCs w:val="20"/>
              </w:rPr>
            </w:pPr>
          </w:p>
        </w:tc>
        <w:tc>
          <w:tcPr>
            <w:tcW w:w="1929" w:type="dxa"/>
            <w:tcBorders>
              <w:top w:val="single" w:sz="4" w:space="0" w:color="auto"/>
              <w:left w:val="single" w:sz="4" w:space="0" w:color="auto"/>
              <w:bottom w:val="single" w:sz="4" w:space="0" w:color="auto"/>
              <w:right w:val="single" w:sz="4" w:space="0" w:color="auto"/>
            </w:tcBorders>
            <w:shd w:val="clear" w:color="auto" w:fill="92D050"/>
            <w:vAlign w:val="center"/>
          </w:tcPr>
          <w:p w:rsidR="007C195E" w:rsidRPr="00CC2702" w:rsidRDefault="007C195E" w:rsidP="00C50D06">
            <w:pPr>
              <w:spacing w:before="0"/>
              <w:jc w:val="center"/>
              <w:outlineLvl w:val="6"/>
              <w:rPr>
                <w:rFonts w:cs="Arial"/>
                <w:b/>
                <w:bCs/>
                <w:sz w:val="22"/>
                <w:szCs w:val="20"/>
              </w:rPr>
            </w:pPr>
            <w:r w:rsidRPr="00CC2702">
              <w:rPr>
                <w:rFonts w:cs="Arial"/>
                <w:b/>
                <w:bCs/>
                <w:sz w:val="22"/>
                <w:szCs w:val="20"/>
              </w:rPr>
              <w:t xml:space="preserve">Absolutní četnosti </w:t>
            </w:r>
          </w:p>
        </w:tc>
        <w:tc>
          <w:tcPr>
            <w:tcW w:w="1626" w:type="dxa"/>
            <w:tcBorders>
              <w:top w:val="single" w:sz="4" w:space="0" w:color="auto"/>
              <w:left w:val="single" w:sz="4" w:space="0" w:color="auto"/>
              <w:bottom w:val="single" w:sz="4" w:space="0" w:color="auto"/>
              <w:right w:val="single" w:sz="4" w:space="0" w:color="auto"/>
            </w:tcBorders>
            <w:shd w:val="clear" w:color="auto" w:fill="92D050"/>
            <w:vAlign w:val="center"/>
          </w:tcPr>
          <w:p w:rsidR="007C195E" w:rsidRPr="00CC2702" w:rsidRDefault="007C195E" w:rsidP="00C50D06">
            <w:pPr>
              <w:spacing w:before="0"/>
              <w:jc w:val="center"/>
              <w:outlineLvl w:val="6"/>
              <w:rPr>
                <w:rFonts w:cs="Arial"/>
                <w:b/>
                <w:bCs/>
                <w:sz w:val="22"/>
                <w:szCs w:val="20"/>
              </w:rPr>
            </w:pPr>
            <w:r w:rsidRPr="00CC2702">
              <w:rPr>
                <w:rFonts w:cs="Arial"/>
                <w:b/>
                <w:bCs/>
                <w:sz w:val="22"/>
                <w:szCs w:val="20"/>
              </w:rPr>
              <w:t>Relativní četnosti (%)</w:t>
            </w:r>
          </w:p>
        </w:tc>
      </w:tr>
      <w:tr w:rsidR="00411526"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ACF6B0"/>
            <w:vAlign w:val="center"/>
          </w:tcPr>
          <w:p w:rsidR="00411526" w:rsidRPr="00411526" w:rsidRDefault="00411526" w:rsidP="00C50D06">
            <w:pPr>
              <w:spacing w:before="0"/>
              <w:jc w:val="center"/>
              <w:rPr>
                <w:rFonts w:eastAsia="Arial Unicode MS" w:cs="Arial"/>
                <w:b/>
                <w:sz w:val="22"/>
              </w:rPr>
            </w:pPr>
            <w:r w:rsidRPr="00411526">
              <w:rPr>
                <w:rFonts w:eastAsia="Arial Unicode MS" w:cs="Arial"/>
                <w:b/>
                <w:sz w:val="22"/>
              </w:rPr>
              <w:t>Výtah</w:t>
            </w:r>
            <w:r w:rsidR="005B7D3E">
              <w:rPr>
                <w:rFonts w:eastAsia="Arial Unicode MS" w:cs="Arial"/>
                <w:b/>
                <w:sz w:val="22"/>
              </w:rPr>
              <w:t>y</w:t>
            </w:r>
            <w:r w:rsidRPr="00411526">
              <w:rPr>
                <w:rFonts w:eastAsia="Arial Unicode MS" w:cs="Arial"/>
                <w:b/>
                <w:sz w:val="22"/>
              </w:rPr>
              <w:t>, bezbariérové přístupy, lepší chodníky</w:t>
            </w:r>
          </w:p>
        </w:tc>
        <w:tc>
          <w:tcPr>
            <w:tcW w:w="1929" w:type="dxa"/>
            <w:tcBorders>
              <w:top w:val="single" w:sz="4" w:space="0" w:color="auto"/>
              <w:left w:val="single" w:sz="4" w:space="0" w:color="auto"/>
              <w:bottom w:val="single" w:sz="4" w:space="0" w:color="auto"/>
              <w:right w:val="single" w:sz="4" w:space="0" w:color="auto"/>
            </w:tcBorders>
            <w:shd w:val="clear" w:color="auto" w:fill="ACF6B0"/>
            <w:vAlign w:val="center"/>
          </w:tcPr>
          <w:p w:rsidR="00411526" w:rsidRPr="005D43D7" w:rsidRDefault="00411526" w:rsidP="00C50D06">
            <w:pPr>
              <w:spacing w:before="0"/>
              <w:jc w:val="center"/>
              <w:rPr>
                <w:rFonts w:eastAsia="Arial Unicode MS" w:cs="Arial"/>
                <w:b/>
                <w:sz w:val="22"/>
              </w:rPr>
            </w:pPr>
            <w:r>
              <w:rPr>
                <w:rFonts w:eastAsia="Arial Unicode MS" w:cs="Arial"/>
                <w:b/>
                <w:sz w:val="22"/>
              </w:rPr>
              <w:t>23</w:t>
            </w:r>
          </w:p>
        </w:tc>
        <w:tc>
          <w:tcPr>
            <w:tcW w:w="1626" w:type="dxa"/>
            <w:tcBorders>
              <w:top w:val="single" w:sz="4" w:space="0" w:color="auto"/>
              <w:left w:val="single" w:sz="4" w:space="0" w:color="auto"/>
              <w:bottom w:val="single" w:sz="4" w:space="0" w:color="auto"/>
              <w:right w:val="single" w:sz="4" w:space="0" w:color="auto"/>
            </w:tcBorders>
            <w:shd w:val="clear" w:color="auto" w:fill="ACF6B0"/>
            <w:vAlign w:val="center"/>
          </w:tcPr>
          <w:p w:rsidR="00411526" w:rsidRPr="005D43D7" w:rsidRDefault="002165DA" w:rsidP="00C50D06">
            <w:pPr>
              <w:spacing w:before="0"/>
              <w:jc w:val="center"/>
              <w:rPr>
                <w:rFonts w:eastAsia="Arial Unicode MS" w:cs="Arial"/>
                <w:b/>
                <w:sz w:val="22"/>
              </w:rPr>
            </w:pPr>
            <w:r>
              <w:rPr>
                <w:rFonts w:eastAsia="Arial Unicode MS" w:cs="Arial"/>
                <w:b/>
                <w:sz w:val="22"/>
              </w:rPr>
              <w:t>16,9</w:t>
            </w:r>
          </w:p>
        </w:tc>
      </w:tr>
      <w:tr w:rsidR="007C195E"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411526" w:rsidP="00C50D06">
            <w:pPr>
              <w:spacing w:before="0"/>
              <w:jc w:val="center"/>
              <w:rPr>
                <w:rFonts w:eastAsia="Arial Unicode MS" w:cs="Arial"/>
                <w:b/>
                <w:sz w:val="22"/>
              </w:rPr>
            </w:pPr>
            <w:r w:rsidRPr="00411526">
              <w:rPr>
                <w:rFonts w:eastAsia="Arial Unicode MS" w:cs="Arial"/>
                <w:b/>
                <w:sz w:val="22"/>
              </w:rPr>
              <w:t>Sociální služba (odlehčovací služba, dobrovolníci, chráněné bydlení, apod.)</w:t>
            </w:r>
          </w:p>
        </w:tc>
        <w:tc>
          <w:tcPr>
            <w:tcW w:w="1929"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411526" w:rsidP="00C50D06">
            <w:pPr>
              <w:spacing w:before="0"/>
              <w:jc w:val="center"/>
              <w:rPr>
                <w:rFonts w:eastAsia="Arial Unicode MS" w:cs="Arial"/>
                <w:b/>
                <w:sz w:val="22"/>
              </w:rPr>
            </w:pPr>
            <w:r>
              <w:rPr>
                <w:rFonts w:eastAsia="Arial Unicode MS" w:cs="Arial"/>
                <w:b/>
                <w:sz w:val="22"/>
              </w:rPr>
              <w:t>20</w:t>
            </w:r>
          </w:p>
        </w:tc>
        <w:tc>
          <w:tcPr>
            <w:tcW w:w="1626"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2165DA" w:rsidP="00C50D06">
            <w:pPr>
              <w:spacing w:before="0"/>
              <w:jc w:val="center"/>
              <w:rPr>
                <w:rFonts w:eastAsia="Arial Unicode MS" w:cs="Arial"/>
                <w:b/>
                <w:sz w:val="22"/>
              </w:rPr>
            </w:pPr>
            <w:r>
              <w:rPr>
                <w:rFonts w:eastAsia="Arial Unicode MS" w:cs="Arial"/>
                <w:b/>
                <w:sz w:val="22"/>
              </w:rPr>
              <w:t>14,7</w:t>
            </w:r>
          </w:p>
        </w:tc>
      </w:tr>
      <w:tr w:rsidR="007C195E"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411526" w:rsidP="00C50D06">
            <w:pPr>
              <w:spacing w:before="0"/>
              <w:jc w:val="center"/>
              <w:rPr>
                <w:rFonts w:eastAsia="Arial Unicode MS" w:cs="Arial"/>
                <w:b/>
                <w:sz w:val="22"/>
              </w:rPr>
            </w:pPr>
            <w:r w:rsidRPr="00411526">
              <w:rPr>
                <w:rFonts w:eastAsia="Arial Unicode MS" w:cs="Arial"/>
                <w:b/>
                <w:sz w:val="22"/>
              </w:rPr>
              <w:t>Zaměstnání, více financí</w:t>
            </w:r>
          </w:p>
        </w:tc>
        <w:tc>
          <w:tcPr>
            <w:tcW w:w="1929"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411526" w:rsidP="00C50D06">
            <w:pPr>
              <w:spacing w:before="0"/>
              <w:jc w:val="center"/>
              <w:rPr>
                <w:rFonts w:eastAsia="Arial Unicode MS" w:cs="Arial"/>
                <w:b/>
                <w:sz w:val="22"/>
              </w:rPr>
            </w:pPr>
            <w:r>
              <w:rPr>
                <w:rFonts w:eastAsia="Arial Unicode MS" w:cs="Arial"/>
                <w:b/>
                <w:sz w:val="22"/>
              </w:rPr>
              <w:t>20</w:t>
            </w:r>
          </w:p>
        </w:tc>
        <w:tc>
          <w:tcPr>
            <w:tcW w:w="1626"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2165DA" w:rsidP="00C50D06">
            <w:pPr>
              <w:spacing w:before="0"/>
              <w:jc w:val="center"/>
              <w:rPr>
                <w:rFonts w:eastAsia="Arial Unicode MS" w:cs="Arial"/>
                <w:b/>
                <w:sz w:val="22"/>
              </w:rPr>
            </w:pPr>
            <w:r>
              <w:rPr>
                <w:rFonts w:eastAsia="Arial Unicode MS" w:cs="Arial"/>
                <w:b/>
                <w:sz w:val="22"/>
              </w:rPr>
              <w:t>14,7</w:t>
            </w:r>
          </w:p>
        </w:tc>
      </w:tr>
      <w:tr w:rsidR="007C195E"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411526" w:rsidP="00C50D06">
            <w:pPr>
              <w:spacing w:before="0"/>
              <w:jc w:val="center"/>
              <w:rPr>
                <w:rFonts w:eastAsia="Arial Unicode MS" w:cs="Arial"/>
                <w:b/>
                <w:sz w:val="22"/>
              </w:rPr>
            </w:pPr>
            <w:r w:rsidRPr="00411526">
              <w:rPr>
                <w:rFonts w:eastAsia="Arial Unicode MS" w:cs="Arial"/>
                <w:b/>
                <w:sz w:val="22"/>
              </w:rPr>
              <w:t>Lepší přístup lékařů, pečovatelů a okolí</w:t>
            </w:r>
          </w:p>
        </w:tc>
        <w:tc>
          <w:tcPr>
            <w:tcW w:w="1929"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2165DA" w:rsidP="00C50D06">
            <w:pPr>
              <w:spacing w:before="0"/>
              <w:jc w:val="center"/>
              <w:rPr>
                <w:rFonts w:eastAsia="Arial Unicode MS" w:cs="Arial"/>
                <w:b/>
                <w:sz w:val="22"/>
              </w:rPr>
            </w:pPr>
            <w:r>
              <w:rPr>
                <w:rFonts w:eastAsia="Arial Unicode MS" w:cs="Arial"/>
                <w:b/>
                <w:sz w:val="22"/>
              </w:rPr>
              <w:t>19</w:t>
            </w:r>
          </w:p>
        </w:tc>
        <w:tc>
          <w:tcPr>
            <w:tcW w:w="1626"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2165DA" w:rsidP="00C50D06">
            <w:pPr>
              <w:spacing w:before="0"/>
              <w:jc w:val="center"/>
              <w:rPr>
                <w:rFonts w:eastAsia="Arial Unicode MS" w:cs="Arial"/>
                <w:b/>
                <w:sz w:val="22"/>
              </w:rPr>
            </w:pPr>
            <w:r>
              <w:rPr>
                <w:rFonts w:eastAsia="Arial Unicode MS" w:cs="Arial"/>
                <w:b/>
                <w:sz w:val="22"/>
              </w:rPr>
              <w:t>14,0</w:t>
            </w:r>
          </w:p>
        </w:tc>
      </w:tr>
      <w:tr w:rsidR="007C195E" w:rsidRPr="004119CF" w:rsidTr="004119CF">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119CF" w:rsidRDefault="00411526" w:rsidP="00C50D06">
            <w:pPr>
              <w:spacing w:before="0"/>
              <w:jc w:val="center"/>
              <w:rPr>
                <w:rFonts w:eastAsia="Arial Unicode MS" w:cs="Arial"/>
                <w:sz w:val="22"/>
              </w:rPr>
            </w:pPr>
            <w:r w:rsidRPr="004119CF">
              <w:rPr>
                <w:rFonts w:eastAsia="Arial Unicode MS" w:cs="Arial"/>
                <w:sz w:val="22"/>
              </w:rPr>
              <w:t>Kontakt s ostatními, nebýt sám, volnočasové akce</w:t>
            </w:r>
          </w:p>
        </w:tc>
        <w:tc>
          <w:tcPr>
            <w:tcW w:w="19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119CF" w:rsidRDefault="00411526" w:rsidP="00C50D06">
            <w:pPr>
              <w:spacing w:before="0"/>
              <w:jc w:val="center"/>
              <w:rPr>
                <w:rFonts w:eastAsia="Arial Unicode MS" w:cs="Arial"/>
                <w:sz w:val="22"/>
              </w:rPr>
            </w:pPr>
            <w:r w:rsidRPr="004119CF">
              <w:rPr>
                <w:rFonts w:eastAsia="Arial Unicode MS" w:cs="Arial"/>
                <w:sz w:val="22"/>
              </w:rPr>
              <w:t>12</w:t>
            </w:r>
          </w:p>
        </w:tc>
        <w:tc>
          <w:tcPr>
            <w:tcW w:w="1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119CF" w:rsidRDefault="002165DA" w:rsidP="00C50D06">
            <w:pPr>
              <w:spacing w:before="0"/>
              <w:jc w:val="center"/>
              <w:rPr>
                <w:rFonts w:eastAsia="Arial Unicode MS" w:cs="Arial"/>
                <w:sz w:val="22"/>
              </w:rPr>
            </w:pPr>
            <w:r w:rsidRPr="004119CF">
              <w:rPr>
                <w:rFonts w:eastAsia="Arial Unicode MS" w:cs="Arial"/>
                <w:sz w:val="22"/>
              </w:rPr>
              <w:t>8,8</w:t>
            </w:r>
          </w:p>
        </w:tc>
      </w:tr>
      <w:tr w:rsidR="007C195E" w:rsidRPr="005D43D7" w:rsidTr="00C50D06">
        <w:trPr>
          <w:trHeight w:val="297"/>
        </w:trPr>
        <w:tc>
          <w:tcPr>
            <w:tcW w:w="5640"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11526" w:rsidP="00C50D06">
            <w:pPr>
              <w:spacing w:before="0"/>
              <w:jc w:val="center"/>
              <w:rPr>
                <w:rFonts w:eastAsia="Arial Unicode MS" w:cs="Arial"/>
                <w:sz w:val="22"/>
              </w:rPr>
            </w:pPr>
            <w:r>
              <w:rPr>
                <w:rFonts w:eastAsia="Arial Unicode MS" w:cs="Arial"/>
                <w:sz w:val="22"/>
              </w:rPr>
              <w:t>Pomoc rodiny, kontakt s rodinou</w:t>
            </w:r>
          </w:p>
        </w:tc>
        <w:tc>
          <w:tcPr>
            <w:tcW w:w="1929"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2165DA" w:rsidP="00C50D06">
            <w:pPr>
              <w:spacing w:before="0"/>
              <w:jc w:val="center"/>
              <w:rPr>
                <w:rFonts w:eastAsia="Arial Unicode MS" w:cs="Arial"/>
                <w:sz w:val="22"/>
              </w:rPr>
            </w:pPr>
            <w:r>
              <w:rPr>
                <w:rFonts w:eastAsia="Arial Unicode MS" w:cs="Arial"/>
                <w:sz w:val="22"/>
              </w:rPr>
              <w:t>10</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2165DA" w:rsidP="00C50D06">
            <w:pPr>
              <w:spacing w:before="0"/>
              <w:jc w:val="center"/>
              <w:rPr>
                <w:rFonts w:eastAsia="Arial Unicode MS" w:cs="Arial"/>
                <w:sz w:val="22"/>
              </w:rPr>
            </w:pPr>
            <w:r>
              <w:rPr>
                <w:rFonts w:eastAsia="Arial Unicode MS" w:cs="Arial"/>
                <w:sz w:val="22"/>
              </w:rPr>
              <w:t>7,4</w:t>
            </w:r>
          </w:p>
        </w:tc>
      </w:tr>
      <w:tr w:rsidR="007C195E"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11526" w:rsidP="00C50D06">
            <w:pPr>
              <w:spacing w:before="0"/>
              <w:jc w:val="center"/>
              <w:rPr>
                <w:rFonts w:cs="Arial"/>
                <w:sz w:val="22"/>
              </w:rPr>
            </w:pPr>
            <w:r>
              <w:rPr>
                <w:rFonts w:cs="Arial"/>
                <w:sz w:val="22"/>
              </w:rPr>
              <w:t>Soběstačnost, samostatnost</w:t>
            </w:r>
          </w:p>
        </w:tc>
        <w:tc>
          <w:tcPr>
            <w:tcW w:w="1929"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11526" w:rsidP="00C50D06">
            <w:pPr>
              <w:spacing w:before="0"/>
              <w:jc w:val="center"/>
              <w:rPr>
                <w:rFonts w:eastAsia="Arial Unicode MS" w:cs="Arial"/>
                <w:sz w:val="22"/>
              </w:rPr>
            </w:pPr>
            <w:r>
              <w:rPr>
                <w:rFonts w:eastAsia="Arial Unicode MS" w:cs="Arial"/>
                <w:sz w:val="22"/>
              </w:rPr>
              <w:t>6</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2165DA" w:rsidP="00C50D06">
            <w:pPr>
              <w:spacing w:before="0"/>
              <w:jc w:val="center"/>
              <w:rPr>
                <w:rFonts w:eastAsia="Arial Unicode MS" w:cs="Arial"/>
                <w:sz w:val="22"/>
              </w:rPr>
            </w:pPr>
            <w:r>
              <w:rPr>
                <w:rFonts w:eastAsia="Arial Unicode MS" w:cs="Arial"/>
                <w:sz w:val="22"/>
              </w:rPr>
              <w:t>4,4</w:t>
            </w:r>
          </w:p>
        </w:tc>
      </w:tr>
      <w:tr w:rsidR="007C195E" w:rsidRPr="005D43D7" w:rsidTr="00C50D06">
        <w:trPr>
          <w:trHeight w:val="297"/>
        </w:trPr>
        <w:tc>
          <w:tcPr>
            <w:tcW w:w="5640"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11526" w:rsidP="00C50D06">
            <w:pPr>
              <w:spacing w:before="0"/>
              <w:jc w:val="center"/>
              <w:rPr>
                <w:rFonts w:cs="Arial"/>
                <w:sz w:val="22"/>
              </w:rPr>
            </w:pPr>
            <w:r>
              <w:rPr>
                <w:rFonts w:cs="Arial"/>
                <w:sz w:val="22"/>
              </w:rPr>
              <w:t>Zlepšení zdravotního stavu</w:t>
            </w:r>
          </w:p>
        </w:tc>
        <w:tc>
          <w:tcPr>
            <w:tcW w:w="1929"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11526" w:rsidP="00C50D06">
            <w:pPr>
              <w:spacing w:before="0"/>
              <w:jc w:val="center"/>
              <w:rPr>
                <w:rFonts w:eastAsia="Arial Unicode MS" w:cs="Arial"/>
                <w:sz w:val="22"/>
              </w:rPr>
            </w:pPr>
            <w:r>
              <w:rPr>
                <w:rFonts w:eastAsia="Arial Unicode MS" w:cs="Arial"/>
                <w:sz w:val="22"/>
              </w:rPr>
              <w:t>5</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2165DA" w:rsidP="00C50D06">
            <w:pPr>
              <w:spacing w:before="0"/>
              <w:jc w:val="center"/>
              <w:rPr>
                <w:rFonts w:eastAsia="Arial Unicode MS" w:cs="Arial"/>
                <w:sz w:val="22"/>
              </w:rPr>
            </w:pPr>
            <w:r>
              <w:rPr>
                <w:rFonts w:eastAsia="Arial Unicode MS" w:cs="Arial"/>
                <w:sz w:val="22"/>
              </w:rPr>
              <w:t>3,7</w:t>
            </w:r>
          </w:p>
        </w:tc>
      </w:tr>
      <w:tr w:rsidR="00411526" w:rsidRPr="005D43D7" w:rsidTr="00C50D06">
        <w:trPr>
          <w:trHeight w:val="297"/>
        </w:trPr>
        <w:tc>
          <w:tcPr>
            <w:tcW w:w="5640" w:type="dxa"/>
            <w:tcBorders>
              <w:top w:val="single" w:sz="4" w:space="0" w:color="auto"/>
              <w:left w:val="single" w:sz="4" w:space="0" w:color="auto"/>
              <w:bottom w:val="single" w:sz="4" w:space="0" w:color="auto"/>
              <w:right w:val="single" w:sz="4" w:space="0" w:color="auto"/>
            </w:tcBorders>
            <w:shd w:val="clear" w:color="auto" w:fill="ECECEC"/>
            <w:vAlign w:val="center"/>
          </w:tcPr>
          <w:p w:rsidR="00411526" w:rsidRDefault="00411526" w:rsidP="00C50D06">
            <w:pPr>
              <w:spacing w:before="0"/>
              <w:jc w:val="center"/>
              <w:rPr>
                <w:rFonts w:cs="Arial"/>
                <w:sz w:val="22"/>
              </w:rPr>
            </w:pPr>
            <w:r>
              <w:rPr>
                <w:rFonts w:cs="Arial"/>
                <w:sz w:val="22"/>
              </w:rPr>
              <w:t>Nevím, jsem naprosto spokojen(a)</w:t>
            </w:r>
          </w:p>
        </w:tc>
        <w:tc>
          <w:tcPr>
            <w:tcW w:w="1929" w:type="dxa"/>
            <w:tcBorders>
              <w:top w:val="single" w:sz="4" w:space="0" w:color="auto"/>
              <w:left w:val="single" w:sz="4" w:space="0" w:color="auto"/>
              <w:bottom w:val="single" w:sz="4" w:space="0" w:color="auto"/>
              <w:right w:val="single" w:sz="4" w:space="0" w:color="auto"/>
            </w:tcBorders>
            <w:shd w:val="clear" w:color="auto" w:fill="ECECEC"/>
            <w:vAlign w:val="center"/>
          </w:tcPr>
          <w:p w:rsidR="00411526" w:rsidRDefault="00411526" w:rsidP="00C50D06">
            <w:pPr>
              <w:spacing w:before="0"/>
              <w:jc w:val="center"/>
              <w:rPr>
                <w:rFonts w:eastAsia="Arial Unicode MS" w:cs="Arial"/>
                <w:sz w:val="22"/>
              </w:rPr>
            </w:pPr>
            <w:r>
              <w:rPr>
                <w:rFonts w:eastAsia="Arial Unicode MS" w:cs="Arial"/>
                <w:sz w:val="22"/>
              </w:rPr>
              <w:t>3</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411526" w:rsidRPr="005D43D7" w:rsidRDefault="002165DA" w:rsidP="00C50D06">
            <w:pPr>
              <w:spacing w:before="0"/>
              <w:jc w:val="center"/>
              <w:rPr>
                <w:rFonts w:eastAsia="Arial Unicode MS" w:cs="Arial"/>
                <w:sz w:val="22"/>
              </w:rPr>
            </w:pPr>
            <w:r>
              <w:rPr>
                <w:rFonts w:eastAsia="Arial Unicode MS" w:cs="Arial"/>
                <w:sz w:val="22"/>
              </w:rPr>
              <w:t>2,2</w:t>
            </w:r>
          </w:p>
        </w:tc>
      </w:tr>
      <w:tr w:rsidR="007C195E"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11526" w:rsidP="00C50D06">
            <w:pPr>
              <w:spacing w:before="0"/>
              <w:jc w:val="center"/>
              <w:rPr>
                <w:rFonts w:cs="Arial"/>
                <w:sz w:val="22"/>
              </w:rPr>
            </w:pPr>
            <w:r>
              <w:rPr>
                <w:rFonts w:cs="Arial"/>
                <w:sz w:val="22"/>
              </w:rPr>
              <w:t>Ostatní</w:t>
            </w:r>
          </w:p>
        </w:tc>
        <w:tc>
          <w:tcPr>
            <w:tcW w:w="1929"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11526" w:rsidP="00411526">
            <w:pPr>
              <w:spacing w:before="0"/>
              <w:jc w:val="center"/>
              <w:rPr>
                <w:rFonts w:eastAsia="Arial Unicode MS" w:cs="Arial"/>
                <w:sz w:val="22"/>
              </w:rPr>
            </w:pPr>
            <w:r>
              <w:rPr>
                <w:rFonts w:eastAsia="Arial Unicode MS" w:cs="Arial"/>
                <w:sz w:val="22"/>
              </w:rPr>
              <w:t>18</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2165DA" w:rsidP="00C50D06">
            <w:pPr>
              <w:spacing w:before="0"/>
              <w:jc w:val="center"/>
              <w:rPr>
                <w:rFonts w:eastAsia="Arial Unicode MS" w:cs="Arial"/>
                <w:sz w:val="22"/>
              </w:rPr>
            </w:pPr>
            <w:r>
              <w:rPr>
                <w:rFonts w:eastAsia="Arial Unicode MS" w:cs="Arial"/>
                <w:sz w:val="22"/>
              </w:rPr>
              <w:t>13,2</w:t>
            </w:r>
          </w:p>
        </w:tc>
      </w:tr>
      <w:tr w:rsidR="007C195E" w:rsidRPr="005D43D7" w:rsidTr="00C50D06">
        <w:trPr>
          <w:trHeight w:val="340"/>
        </w:trPr>
        <w:tc>
          <w:tcPr>
            <w:tcW w:w="5640" w:type="dxa"/>
            <w:tcBorders>
              <w:top w:val="single" w:sz="4" w:space="0" w:color="auto"/>
              <w:left w:val="single" w:sz="4" w:space="0" w:color="auto"/>
              <w:bottom w:val="single" w:sz="4" w:space="0" w:color="auto"/>
              <w:right w:val="single" w:sz="4" w:space="0" w:color="auto"/>
            </w:tcBorders>
            <w:shd w:val="clear" w:color="auto" w:fill="92D050"/>
            <w:vAlign w:val="center"/>
          </w:tcPr>
          <w:p w:rsidR="007C195E" w:rsidRPr="005D43D7" w:rsidRDefault="007C195E" w:rsidP="00C50D06">
            <w:pPr>
              <w:spacing w:before="0"/>
              <w:jc w:val="center"/>
              <w:rPr>
                <w:rFonts w:cs="Arial"/>
                <w:b/>
                <w:bCs/>
                <w:sz w:val="22"/>
              </w:rPr>
            </w:pPr>
            <w:r w:rsidRPr="005D43D7">
              <w:rPr>
                <w:rFonts w:cs="Arial"/>
                <w:b/>
                <w:bCs/>
                <w:sz w:val="22"/>
              </w:rPr>
              <w:t>Celkem</w:t>
            </w:r>
          </w:p>
        </w:tc>
        <w:tc>
          <w:tcPr>
            <w:tcW w:w="1929" w:type="dxa"/>
            <w:tcBorders>
              <w:top w:val="single" w:sz="4" w:space="0" w:color="auto"/>
              <w:left w:val="single" w:sz="4" w:space="0" w:color="auto"/>
              <w:bottom w:val="single" w:sz="4" w:space="0" w:color="auto"/>
              <w:right w:val="single" w:sz="4" w:space="0" w:color="auto"/>
            </w:tcBorders>
            <w:shd w:val="clear" w:color="auto" w:fill="92D050"/>
            <w:vAlign w:val="center"/>
          </w:tcPr>
          <w:p w:rsidR="007C195E" w:rsidRPr="005D43D7" w:rsidRDefault="00411526" w:rsidP="00C50D06">
            <w:pPr>
              <w:spacing w:before="0"/>
              <w:jc w:val="center"/>
              <w:rPr>
                <w:rFonts w:eastAsia="Arial Unicode MS" w:cs="Arial"/>
                <w:b/>
                <w:bCs/>
                <w:sz w:val="22"/>
              </w:rPr>
            </w:pPr>
            <w:r>
              <w:rPr>
                <w:rFonts w:eastAsia="Arial Unicode MS" w:cs="Arial"/>
                <w:b/>
                <w:bCs/>
                <w:sz w:val="22"/>
              </w:rPr>
              <w:t>136</w:t>
            </w:r>
          </w:p>
        </w:tc>
        <w:tc>
          <w:tcPr>
            <w:tcW w:w="1626" w:type="dxa"/>
            <w:tcBorders>
              <w:top w:val="single" w:sz="4" w:space="0" w:color="auto"/>
              <w:left w:val="single" w:sz="4" w:space="0" w:color="auto"/>
              <w:bottom w:val="single" w:sz="4" w:space="0" w:color="auto"/>
              <w:right w:val="single" w:sz="4" w:space="0" w:color="auto"/>
            </w:tcBorders>
            <w:shd w:val="clear" w:color="auto" w:fill="92D050"/>
            <w:vAlign w:val="center"/>
          </w:tcPr>
          <w:p w:rsidR="007C195E" w:rsidRPr="005D43D7" w:rsidRDefault="007C195E" w:rsidP="00C50D06">
            <w:pPr>
              <w:spacing w:before="0"/>
              <w:jc w:val="center"/>
              <w:rPr>
                <w:rFonts w:eastAsia="Arial Unicode MS" w:cs="Arial"/>
                <w:b/>
                <w:bCs/>
                <w:sz w:val="22"/>
              </w:rPr>
            </w:pPr>
            <w:r w:rsidRPr="005D43D7">
              <w:rPr>
                <w:rFonts w:cs="Arial" w:hint="eastAsia"/>
                <w:b/>
                <w:bCs/>
                <w:sz w:val="22"/>
              </w:rPr>
              <w:t>100</w:t>
            </w:r>
            <w:r w:rsidRPr="005D43D7">
              <w:rPr>
                <w:rFonts w:cs="Arial"/>
                <w:b/>
                <w:bCs/>
                <w:sz w:val="22"/>
              </w:rPr>
              <w:t>,0</w:t>
            </w:r>
          </w:p>
        </w:tc>
      </w:tr>
    </w:tbl>
    <w:p w:rsidR="007C195E" w:rsidRDefault="007C195E" w:rsidP="00C50D06">
      <w:pPr>
        <w:spacing w:before="0"/>
        <w:jc w:val="right"/>
        <w:rPr>
          <w:sz w:val="16"/>
        </w:rPr>
      </w:pPr>
      <w:r>
        <w:rPr>
          <w:sz w:val="16"/>
        </w:rPr>
        <w:t>Tabulka: AUGUR Consulting</w:t>
      </w:r>
    </w:p>
    <w:p w:rsidR="007C195E" w:rsidRDefault="007C195E" w:rsidP="00C50D06">
      <w:pPr>
        <w:rPr>
          <w:sz w:val="20"/>
        </w:rPr>
      </w:pPr>
      <w:r w:rsidRPr="00222E47">
        <w:rPr>
          <w:b/>
          <w:sz w:val="20"/>
        </w:rPr>
        <w:t xml:space="preserve">Ostatní </w:t>
      </w:r>
      <w:r w:rsidRPr="00222E47">
        <w:rPr>
          <w:sz w:val="20"/>
        </w:rPr>
        <w:t>(tj. odpovědi se stati</w:t>
      </w:r>
      <w:r>
        <w:rPr>
          <w:sz w:val="20"/>
        </w:rPr>
        <w:t>sticky nevýznamnými četnostmi):</w:t>
      </w:r>
      <w:r w:rsidR="00411526">
        <w:rPr>
          <w:sz w:val="20"/>
        </w:rPr>
        <w:t xml:space="preserve"> naučit se pracovat s PC, více informací o sociálních službách, </w:t>
      </w:r>
    </w:p>
    <w:p w:rsidR="007C195E" w:rsidRDefault="007C195E" w:rsidP="00C50D06">
      <w:pPr>
        <w:rPr>
          <w:b/>
          <w:sz w:val="20"/>
        </w:rPr>
      </w:pPr>
    </w:p>
    <w:p w:rsidR="00C77E5B" w:rsidRDefault="00C77E5B" w:rsidP="00C77E5B">
      <w:r>
        <w:t xml:space="preserve">Čtyři respondenti z deseti (39,1 %) by uvítali pomoc či asistenci proškolených a zacvičených dobrovolníků, čtvrtina dotázaných (24,5 %) by tuto pomoc odmítla a více než třetina respondentů (36,4 %) neví, nemají na tuto situaci prozatím názor. Výsledky dokumentuje následující graf č. </w:t>
      </w:r>
      <w:r w:rsidR="00BB2002">
        <w:t xml:space="preserve">30. </w:t>
      </w:r>
    </w:p>
    <w:p w:rsidR="00C77E5B" w:rsidRDefault="00C77E5B" w:rsidP="00C50D06"/>
    <w:p w:rsidR="00C77E5B" w:rsidRPr="00C77E5B" w:rsidRDefault="00C77E5B" w:rsidP="00C77E5B">
      <w:pPr>
        <w:pStyle w:val="Titulek"/>
        <w:keepNext/>
        <w:rPr>
          <w:b w:val="0"/>
        </w:rPr>
      </w:pPr>
      <w:bookmarkStart w:id="109" w:name="_Toc367357532"/>
      <w:r>
        <w:t xml:space="preserve">Graf č. </w:t>
      </w:r>
      <w:r w:rsidR="00EE3646">
        <w:fldChar w:fldCharType="begin"/>
      </w:r>
      <w:r w:rsidR="00EE3646">
        <w:instrText xml:space="preserve"> SEQ Graf_č. \* ARABIC </w:instrText>
      </w:r>
      <w:r w:rsidR="00EE3646">
        <w:fldChar w:fldCharType="separate"/>
      </w:r>
      <w:r w:rsidR="00B16210">
        <w:rPr>
          <w:noProof/>
        </w:rPr>
        <w:t>30</w:t>
      </w:r>
      <w:r w:rsidR="00EE3646">
        <w:rPr>
          <w:noProof/>
        </w:rPr>
        <w:fldChar w:fldCharType="end"/>
      </w:r>
      <w:r>
        <w:rPr>
          <w:b w:val="0"/>
        </w:rPr>
        <w:t>: Zájem o pomoc či asistenci proškolených a zacvičených dobrovolníků.</w:t>
      </w:r>
      <w:bookmarkEnd w:id="109"/>
    </w:p>
    <w:p w:rsidR="007C195E" w:rsidRDefault="00C77E5B" w:rsidP="00C50D06">
      <w:pPr>
        <w:rPr>
          <w:b/>
          <w:sz w:val="20"/>
        </w:rPr>
      </w:pPr>
      <w:r w:rsidRPr="00640D8E">
        <w:rPr>
          <w:noProof/>
          <w:lang w:eastAsia="cs-CZ"/>
        </w:rPr>
        <mc:AlternateContent>
          <mc:Choice Requires="wps">
            <w:drawing>
              <wp:anchor distT="0" distB="0" distL="114300" distR="114300" simplePos="0" relativeHeight="251723776" behindDoc="0" locked="0" layoutInCell="1" allowOverlap="1" wp14:anchorId="731F47E9" wp14:editId="1216A84A">
                <wp:simplePos x="0" y="0"/>
                <wp:positionH relativeFrom="column">
                  <wp:posOffset>58420</wp:posOffset>
                </wp:positionH>
                <wp:positionV relativeFrom="paragraph">
                  <wp:posOffset>1461770</wp:posOffset>
                </wp:positionV>
                <wp:extent cx="5592445" cy="368935"/>
                <wp:effectExtent l="0" t="0" r="0" b="0"/>
                <wp:wrapNone/>
                <wp:docPr id="32"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873A8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97,3 %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43" type="#_x0000_t202" style="position:absolute;left:0;text-align:left;margin-left:4.6pt;margin-top:115.1pt;width:440.35pt;height:29.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" filled="f" stroked="f">
                <v:textbox style="mso-fit-shape-to-text:t">
                  <w:txbxContent>
                    <w:p w:rsidR="00D822DB" w:rsidRDefault="00D822DB" w:rsidP="00873A8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97,3 %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7C195E" w:rsidRPr="008E5461">
        <w:rPr>
          <w:noProof/>
          <w:color w:val="FF0000"/>
          <w:lang w:eastAsia="cs-CZ"/>
        </w:rPr>
        <w:drawing>
          <wp:inline distT="0" distB="0" distL="0" distR="0" wp14:anchorId="0A42CEEA" wp14:editId="4008AB0B">
            <wp:extent cx="5752214" cy="1658679"/>
            <wp:effectExtent l="0" t="0" r="20320" b="17780"/>
            <wp:docPr id="2065"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C195E" w:rsidRDefault="007C195E" w:rsidP="00C50D06">
      <w:pPr>
        <w:rPr>
          <w:b/>
          <w:sz w:val="20"/>
        </w:rPr>
      </w:pPr>
    </w:p>
    <w:p w:rsidR="00C77E5B" w:rsidRDefault="00C77E5B" w:rsidP="00C77E5B">
      <w:r>
        <w:t>Respondenti, kteří projevili zájem o dobrovolníka, měli možnost vyjádřit</w:t>
      </w:r>
      <w:r w:rsidR="004119CF">
        <w:t xml:space="preserve"> se</w:t>
      </w:r>
      <w:r>
        <w:t>, s čím konkrétně by jim mohl pomoci.</w:t>
      </w:r>
      <w:r w:rsidR="004119CF">
        <w:t xml:space="preserve"> Druhy pomoci byly identifikovány </w:t>
      </w:r>
      <w:r w:rsidR="004119CF">
        <w:rPr>
          <w:rFonts w:cs="Arial"/>
        </w:rPr>
        <w:t>prostřednictvím volné otázky (bez nabízených variant odpovědí). Někteří respondenti uvedli více variant odpovědí, které byly kategorizovány a jsou uve</w:t>
      </w:r>
      <w:r w:rsidR="00BB2002">
        <w:rPr>
          <w:rFonts w:cs="Arial"/>
        </w:rPr>
        <w:t>deny v následující tabulce č. 3</w:t>
      </w:r>
      <w:r w:rsidR="00594151">
        <w:rPr>
          <w:rFonts w:cs="Arial"/>
        </w:rPr>
        <w:t>6</w:t>
      </w:r>
      <w:r w:rsidR="004119CF">
        <w:rPr>
          <w:rFonts w:cs="Arial"/>
        </w:rPr>
        <w:t xml:space="preserve">. Dotázaní uvedli, že </w:t>
      </w:r>
    </w:p>
    <w:p w:rsidR="00C77E5B" w:rsidRDefault="00C77E5B" w:rsidP="00C50D06">
      <w:pPr>
        <w:rPr>
          <w:b/>
          <w:sz w:val="20"/>
        </w:rPr>
      </w:pPr>
    </w:p>
    <w:p w:rsidR="00BB2002" w:rsidRDefault="00BB2002" w:rsidP="00BB2002">
      <w:pPr>
        <w:pStyle w:val="Titulek"/>
        <w:keepNext/>
      </w:pPr>
      <w:bookmarkStart w:id="110" w:name="_Toc367794880"/>
      <w:r>
        <w:t xml:space="preserve">Tabulka č. </w:t>
      </w:r>
      <w:r w:rsidR="00EE3646">
        <w:fldChar w:fldCharType="begin"/>
      </w:r>
      <w:r w:rsidR="00EE3646">
        <w:instrText xml:space="preserve"> SEQ Tabulka_č. \* ARABIC </w:instrText>
      </w:r>
      <w:r w:rsidR="00EE3646">
        <w:fldChar w:fldCharType="separate"/>
      </w:r>
      <w:r w:rsidR="00594151">
        <w:rPr>
          <w:noProof/>
        </w:rPr>
        <w:t>36</w:t>
      </w:r>
      <w:r w:rsidR="00EE3646">
        <w:rPr>
          <w:noProof/>
        </w:rPr>
        <w:fldChar w:fldCharType="end"/>
      </w:r>
      <w:r>
        <w:t>:</w:t>
      </w:r>
      <w:r>
        <w:rPr>
          <w:b w:val="0"/>
        </w:rPr>
        <w:t xml:space="preserve"> Druhy pomoci od proškoleného a zacvičeného dobrovolníka.</w:t>
      </w:r>
      <w:bookmarkEnd w:id="110"/>
    </w:p>
    <w:tbl>
      <w:tblPr>
        <w:tblW w:w="91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640"/>
        <w:gridCol w:w="1929"/>
        <w:gridCol w:w="1626"/>
      </w:tblGrid>
      <w:tr w:rsidR="007C195E" w:rsidRPr="003612F2" w:rsidTr="00C50D06">
        <w:trPr>
          <w:cantSplit/>
          <w:trHeight w:val="871"/>
        </w:trPr>
        <w:tc>
          <w:tcPr>
            <w:tcW w:w="5640" w:type="dxa"/>
            <w:vMerge w:val="restart"/>
            <w:tcBorders>
              <w:top w:val="single" w:sz="4" w:space="0" w:color="auto"/>
              <w:left w:val="single" w:sz="4" w:space="0" w:color="auto"/>
            </w:tcBorders>
            <w:shd w:val="clear" w:color="auto" w:fill="92D050"/>
            <w:vAlign w:val="center"/>
          </w:tcPr>
          <w:p w:rsidR="007C195E" w:rsidRPr="003612F2" w:rsidRDefault="007C195E" w:rsidP="00C50D06">
            <w:pPr>
              <w:spacing w:before="0"/>
              <w:jc w:val="center"/>
              <w:rPr>
                <w:rFonts w:cs="Arial"/>
                <w:b/>
                <w:bCs/>
                <w:sz w:val="20"/>
                <w:szCs w:val="20"/>
              </w:rPr>
            </w:pPr>
            <w:r w:rsidRPr="003612F2">
              <w:rPr>
                <w:rFonts w:cs="Arial"/>
                <w:sz w:val="20"/>
                <w:szCs w:val="20"/>
              </w:rPr>
              <w:br w:type="page"/>
            </w:r>
            <w:r>
              <w:rPr>
                <w:rFonts w:cs="Arial"/>
                <w:b/>
              </w:rPr>
              <w:t>S</w:t>
            </w:r>
            <w:r w:rsidRPr="00F95D50">
              <w:rPr>
                <w:rFonts w:cs="Arial"/>
                <w:b/>
              </w:rPr>
              <w:t> čím konkrétně by vám mohl dobrovolník pomáhat?</w:t>
            </w:r>
          </w:p>
        </w:tc>
        <w:tc>
          <w:tcPr>
            <w:tcW w:w="3555"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6E17E5" w:rsidRDefault="007C195E" w:rsidP="00C50D06">
            <w:pPr>
              <w:spacing w:before="0"/>
              <w:jc w:val="center"/>
              <w:outlineLvl w:val="6"/>
              <w:rPr>
                <w:rFonts w:cs="Arial"/>
                <w:b/>
                <w:bCs/>
                <w:sz w:val="20"/>
                <w:szCs w:val="20"/>
              </w:rPr>
            </w:pPr>
            <w:r w:rsidRPr="003612F2">
              <w:rPr>
                <w:rFonts w:cs="Arial"/>
                <w:b/>
                <w:bCs/>
                <w:sz w:val="20"/>
                <w:szCs w:val="20"/>
              </w:rPr>
              <w:t xml:space="preserve">Na volnou otázku </w:t>
            </w:r>
            <w:r w:rsidRPr="003612F2">
              <w:rPr>
                <w:rFonts w:cs="Arial"/>
                <w:sz w:val="20"/>
                <w:szCs w:val="20"/>
              </w:rPr>
              <w:t>(otázka bez nabízených variant)</w:t>
            </w:r>
            <w:r w:rsidRPr="003612F2">
              <w:rPr>
                <w:rFonts w:cs="Arial"/>
                <w:b/>
                <w:bCs/>
                <w:sz w:val="20"/>
                <w:szCs w:val="20"/>
              </w:rPr>
              <w:t xml:space="preserve"> </w:t>
            </w:r>
          </w:p>
          <w:p w:rsidR="007C195E" w:rsidRPr="003612F2" w:rsidRDefault="006E17E5" w:rsidP="006E17E5">
            <w:pPr>
              <w:spacing w:before="0"/>
              <w:jc w:val="center"/>
              <w:outlineLvl w:val="6"/>
              <w:rPr>
                <w:rFonts w:cs="Arial"/>
                <w:b/>
                <w:bCs/>
                <w:sz w:val="20"/>
                <w:szCs w:val="20"/>
              </w:rPr>
            </w:pPr>
            <w:r>
              <w:rPr>
                <w:rFonts w:cs="Arial"/>
                <w:b/>
                <w:bCs/>
                <w:sz w:val="20"/>
                <w:szCs w:val="20"/>
              </w:rPr>
              <w:t>odpově</w:t>
            </w:r>
            <w:r w:rsidR="007C195E" w:rsidRPr="003612F2">
              <w:rPr>
                <w:rFonts w:cs="Arial"/>
                <w:b/>
                <w:bCs/>
                <w:sz w:val="20"/>
                <w:szCs w:val="20"/>
              </w:rPr>
              <w:t>d</w:t>
            </w:r>
            <w:r>
              <w:rPr>
                <w:rFonts w:cs="Arial"/>
                <w:b/>
                <w:bCs/>
                <w:sz w:val="20"/>
                <w:szCs w:val="20"/>
              </w:rPr>
              <w:t>ě</w:t>
            </w:r>
            <w:r w:rsidR="007C195E" w:rsidRPr="003612F2">
              <w:rPr>
                <w:rFonts w:cs="Arial"/>
                <w:b/>
                <w:bCs/>
                <w:sz w:val="20"/>
                <w:szCs w:val="20"/>
              </w:rPr>
              <w:t xml:space="preserve">lo </w:t>
            </w:r>
            <w:r>
              <w:rPr>
                <w:rFonts w:cs="Arial"/>
                <w:b/>
                <w:bCs/>
                <w:sz w:val="20"/>
                <w:szCs w:val="20"/>
              </w:rPr>
              <w:t xml:space="preserve">32,0 </w:t>
            </w:r>
            <w:r w:rsidR="007C195E" w:rsidRPr="003612F2">
              <w:rPr>
                <w:rFonts w:cs="Arial"/>
                <w:b/>
                <w:bCs/>
                <w:sz w:val="20"/>
                <w:szCs w:val="20"/>
              </w:rPr>
              <w:t>% respondentů.</w:t>
            </w:r>
          </w:p>
        </w:tc>
      </w:tr>
      <w:tr w:rsidR="007C195E" w:rsidRPr="003612F2" w:rsidTr="00C50D06">
        <w:trPr>
          <w:cantSplit/>
          <w:trHeight w:val="72"/>
        </w:trPr>
        <w:tc>
          <w:tcPr>
            <w:tcW w:w="5640" w:type="dxa"/>
            <w:vMerge/>
            <w:tcBorders>
              <w:left w:val="single" w:sz="4" w:space="0" w:color="auto"/>
              <w:bottom w:val="single" w:sz="4" w:space="0" w:color="auto"/>
            </w:tcBorders>
            <w:shd w:val="clear" w:color="auto" w:fill="92D050"/>
            <w:vAlign w:val="center"/>
          </w:tcPr>
          <w:p w:rsidR="007C195E" w:rsidRPr="003612F2" w:rsidRDefault="007C195E" w:rsidP="00C50D06">
            <w:pPr>
              <w:spacing w:before="0"/>
              <w:jc w:val="center"/>
              <w:rPr>
                <w:rFonts w:cs="Arial"/>
                <w:color w:val="FF0000"/>
                <w:sz w:val="20"/>
                <w:szCs w:val="20"/>
              </w:rPr>
            </w:pPr>
          </w:p>
        </w:tc>
        <w:tc>
          <w:tcPr>
            <w:tcW w:w="1929" w:type="dxa"/>
            <w:tcBorders>
              <w:top w:val="single" w:sz="4" w:space="0" w:color="auto"/>
              <w:left w:val="single" w:sz="4" w:space="0" w:color="auto"/>
              <w:bottom w:val="single" w:sz="4" w:space="0" w:color="auto"/>
              <w:right w:val="single" w:sz="4" w:space="0" w:color="auto"/>
            </w:tcBorders>
            <w:shd w:val="clear" w:color="auto" w:fill="92D050"/>
            <w:vAlign w:val="center"/>
          </w:tcPr>
          <w:p w:rsidR="007C195E" w:rsidRPr="00CC2702" w:rsidRDefault="007C195E" w:rsidP="00C50D06">
            <w:pPr>
              <w:spacing w:before="0"/>
              <w:jc w:val="center"/>
              <w:outlineLvl w:val="6"/>
              <w:rPr>
                <w:rFonts w:cs="Arial"/>
                <w:b/>
                <w:bCs/>
                <w:sz w:val="22"/>
                <w:szCs w:val="20"/>
              </w:rPr>
            </w:pPr>
            <w:r w:rsidRPr="00CC2702">
              <w:rPr>
                <w:rFonts w:cs="Arial"/>
                <w:b/>
                <w:bCs/>
                <w:sz w:val="22"/>
                <w:szCs w:val="20"/>
              </w:rPr>
              <w:t xml:space="preserve">Absolutní četnosti </w:t>
            </w:r>
          </w:p>
        </w:tc>
        <w:tc>
          <w:tcPr>
            <w:tcW w:w="1626" w:type="dxa"/>
            <w:tcBorders>
              <w:top w:val="single" w:sz="4" w:space="0" w:color="auto"/>
              <w:left w:val="single" w:sz="4" w:space="0" w:color="auto"/>
              <w:bottom w:val="single" w:sz="4" w:space="0" w:color="auto"/>
              <w:right w:val="single" w:sz="4" w:space="0" w:color="auto"/>
            </w:tcBorders>
            <w:shd w:val="clear" w:color="auto" w:fill="92D050"/>
            <w:vAlign w:val="center"/>
          </w:tcPr>
          <w:p w:rsidR="007C195E" w:rsidRPr="00CC2702" w:rsidRDefault="007C195E" w:rsidP="00C50D06">
            <w:pPr>
              <w:spacing w:before="0"/>
              <w:jc w:val="center"/>
              <w:outlineLvl w:val="6"/>
              <w:rPr>
                <w:rFonts w:cs="Arial"/>
                <w:b/>
                <w:bCs/>
                <w:sz w:val="22"/>
                <w:szCs w:val="20"/>
              </w:rPr>
            </w:pPr>
            <w:r w:rsidRPr="00CC2702">
              <w:rPr>
                <w:rFonts w:cs="Arial"/>
                <w:b/>
                <w:bCs/>
                <w:sz w:val="22"/>
                <w:szCs w:val="20"/>
              </w:rPr>
              <w:t>Relativní četnosti (%)</w:t>
            </w:r>
          </w:p>
        </w:tc>
      </w:tr>
      <w:tr w:rsidR="007C195E"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4119CF" w:rsidP="00C50D06">
            <w:pPr>
              <w:spacing w:before="0"/>
              <w:jc w:val="center"/>
              <w:rPr>
                <w:rFonts w:eastAsia="Arial Unicode MS" w:cs="Arial"/>
                <w:b/>
                <w:sz w:val="22"/>
              </w:rPr>
            </w:pPr>
            <w:r>
              <w:rPr>
                <w:rFonts w:eastAsia="Arial Unicode MS" w:cs="Arial"/>
                <w:b/>
                <w:sz w:val="22"/>
              </w:rPr>
              <w:t>Procházky, pohyb po městě</w:t>
            </w:r>
          </w:p>
        </w:tc>
        <w:tc>
          <w:tcPr>
            <w:tcW w:w="1929"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4119CF" w:rsidP="00C50D06">
            <w:pPr>
              <w:spacing w:before="0"/>
              <w:jc w:val="center"/>
              <w:rPr>
                <w:rFonts w:eastAsia="Arial Unicode MS" w:cs="Arial"/>
                <w:b/>
                <w:sz w:val="22"/>
              </w:rPr>
            </w:pPr>
            <w:r>
              <w:rPr>
                <w:rFonts w:eastAsia="Arial Unicode MS" w:cs="Arial"/>
                <w:b/>
                <w:sz w:val="22"/>
              </w:rPr>
              <w:t>14</w:t>
            </w:r>
          </w:p>
        </w:tc>
        <w:tc>
          <w:tcPr>
            <w:tcW w:w="1626" w:type="dxa"/>
            <w:tcBorders>
              <w:top w:val="single" w:sz="4" w:space="0" w:color="auto"/>
              <w:left w:val="single" w:sz="4" w:space="0" w:color="auto"/>
              <w:bottom w:val="single" w:sz="4" w:space="0" w:color="auto"/>
              <w:right w:val="single" w:sz="4" w:space="0" w:color="auto"/>
            </w:tcBorders>
            <w:shd w:val="clear" w:color="auto" w:fill="ACF6B0"/>
            <w:vAlign w:val="center"/>
          </w:tcPr>
          <w:p w:rsidR="007C195E" w:rsidRPr="005D43D7" w:rsidRDefault="00426EFF" w:rsidP="00C50D06">
            <w:pPr>
              <w:spacing w:before="0"/>
              <w:jc w:val="center"/>
              <w:rPr>
                <w:rFonts w:eastAsia="Arial Unicode MS" w:cs="Arial"/>
                <w:b/>
                <w:sz w:val="22"/>
              </w:rPr>
            </w:pPr>
            <w:r>
              <w:rPr>
                <w:rFonts w:eastAsia="Arial Unicode MS" w:cs="Arial"/>
                <w:b/>
                <w:sz w:val="22"/>
              </w:rPr>
              <w:t>18,9</w:t>
            </w:r>
          </w:p>
        </w:tc>
      </w:tr>
      <w:tr w:rsidR="004119CF"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ACF6B0"/>
            <w:vAlign w:val="center"/>
          </w:tcPr>
          <w:p w:rsidR="004119CF" w:rsidRDefault="004119CF" w:rsidP="004119CF">
            <w:pPr>
              <w:spacing w:before="0"/>
              <w:jc w:val="center"/>
              <w:rPr>
                <w:rFonts w:eastAsia="Arial Unicode MS" w:cs="Arial"/>
                <w:b/>
                <w:sz w:val="22"/>
              </w:rPr>
            </w:pPr>
            <w:r w:rsidRPr="004119CF">
              <w:rPr>
                <w:rFonts w:eastAsia="Arial Unicode MS" w:cs="Arial"/>
                <w:b/>
                <w:sz w:val="22"/>
              </w:rPr>
              <w:t>Doprovod k lékaři, na úřady</w:t>
            </w:r>
          </w:p>
        </w:tc>
        <w:tc>
          <w:tcPr>
            <w:tcW w:w="1929" w:type="dxa"/>
            <w:tcBorders>
              <w:top w:val="single" w:sz="4" w:space="0" w:color="auto"/>
              <w:left w:val="single" w:sz="4" w:space="0" w:color="auto"/>
              <w:bottom w:val="single" w:sz="4" w:space="0" w:color="auto"/>
              <w:right w:val="single" w:sz="4" w:space="0" w:color="auto"/>
            </w:tcBorders>
            <w:shd w:val="clear" w:color="auto" w:fill="ACF6B0"/>
            <w:vAlign w:val="center"/>
          </w:tcPr>
          <w:p w:rsidR="004119CF" w:rsidRDefault="004119CF" w:rsidP="00C50D06">
            <w:pPr>
              <w:spacing w:before="0"/>
              <w:jc w:val="center"/>
              <w:rPr>
                <w:rFonts w:eastAsia="Arial Unicode MS" w:cs="Arial"/>
                <w:b/>
                <w:sz w:val="22"/>
              </w:rPr>
            </w:pPr>
            <w:r>
              <w:rPr>
                <w:rFonts w:eastAsia="Arial Unicode MS" w:cs="Arial"/>
                <w:b/>
                <w:sz w:val="22"/>
              </w:rPr>
              <w:t>12</w:t>
            </w:r>
          </w:p>
        </w:tc>
        <w:tc>
          <w:tcPr>
            <w:tcW w:w="1626" w:type="dxa"/>
            <w:tcBorders>
              <w:top w:val="single" w:sz="4" w:space="0" w:color="auto"/>
              <w:left w:val="single" w:sz="4" w:space="0" w:color="auto"/>
              <w:bottom w:val="single" w:sz="4" w:space="0" w:color="auto"/>
              <w:right w:val="single" w:sz="4" w:space="0" w:color="auto"/>
            </w:tcBorders>
            <w:shd w:val="clear" w:color="auto" w:fill="ACF6B0"/>
            <w:vAlign w:val="center"/>
          </w:tcPr>
          <w:p w:rsidR="004119CF" w:rsidRPr="005D43D7" w:rsidRDefault="00426EFF" w:rsidP="00C50D06">
            <w:pPr>
              <w:spacing w:before="0"/>
              <w:jc w:val="center"/>
              <w:rPr>
                <w:rFonts w:eastAsia="Arial Unicode MS" w:cs="Arial"/>
                <w:b/>
                <w:sz w:val="22"/>
              </w:rPr>
            </w:pPr>
            <w:r>
              <w:rPr>
                <w:rFonts w:eastAsia="Arial Unicode MS" w:cs="Arial"/>
                <w:b/>
                <w:sz w:val="22"/>
              </w:rPr>
              <w:t>16,2</w:t>
            </w:r>
          </w:p>
        </w:tc>
      </w:tr>
      <w:tr w:rsidR="007C195E" w:rsidRPr="00426EFF" w:rsidTr="00426EFF">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26EFF" w:rsidRDefault="004119CF" w:rsidP="00C50D06">
            <w:pPr>
              <w:spacing w:before="0"/>
              <w:jc w:val="center"/>
              <w:rPr>
                <w:rFonts w:eastAsia="Arial Unicode MS" w:cs="Arial"/>
                <w:sz w:val="22"/>
              </w:rPr>
            </w:pPr>
            <w:r w:rsidRPr="00426EFF">
              <w:rPr>
                <w:rFonts w:eastAsia="Arial Unicode MS" w:cs="Arial"/>
                <w:sz w:val="22"/>
              </w:rPr>
              <w:t>Trávení volného času</w:t>
            </w:r>
          </w:p>
        </w:tc>
        <w:tc>
          <w:tcPr>
            <w:tcW w:w="19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26EFF" w:rsidRDefault="004119CF" w:rsidP="00C50D06">
            <w:pPr>
              <w:spacing w:before="0"/>
              <w:jc w:val="center"/>
              <w:rPr>
                <w:rFonts w:eastAsia="Arial Unicode MS" w:cs="Arial"/>
                <w:sz w:val="22"/>
              </w:rPr>
            </w:pPr>
            <w:r w:rsidRPr="00426EFF">
              <w:rPr>
                <w:rFonts w:eastAsia="Arial Unicode MS" w:cs="Arial"/>
                <w:sz w:val="22"/>
              </w:rPr>
              <w:t>11</w:t>
            </w:r>
          </w:p>
        </w:tc>
        <w:tc>
          <w:tcPr>
            <w:tcW w:w="1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26EFF" w:rsidRDefault="00426EFF" w:rsidP="00C50D06">
            <w:pPr>
              <w:spacing w:before="0"/>
              <w:jc w:val="center"/>
              <w:rPr>
                <w:rFonts w:eastAsia="Arial Unicode MS" w:cs="Arial"/>
                <w:sz w:val="22"/>
              </w:rPr>
            </w:pPr>
            <w:r>
              <w:rPr>
                <w:rFonts w:eastAsia="Arial Unicode MS" w:cs="Arial"/>
                <w:sz w:val="22"/>
              </w:rPr>
              <w:t>14,9</w:t>
            </w:r>
          </w:p>
        </w:tc>
      </w:tr>
      <w:tr w:rsidR="007C195E" w:rsidRPr="00426EFF" w:rsidTr="00426EFF">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26EFF" w:rsidRDefault="004119CF" w:rsidP="00C50D06">
            <w:pPr>
              <w:spacing w:before="0"/>
              <w:jc w:val="center"/>
              <w:rPr>
                <w:rFonts w:eastAsia="Arial Unicode MS" w:cs="Arial"/>
                <w:sz w:val="22"/>
              </w:rPr>
            </w:pPr>
            <w:r w:rsidRPr="00426EFF">
              <w:rPr>
                <w:rFonts w:eastAsia="Arial Unicode MS" w:cs="Arial"/>
                <w:sz w:val="22"/>
              </w:rPr>
              <w:t>Nákupy</w:t>
            </w:r>
          </w:p>
        </w:tc>
        <w:tc>
          <w:tcPr>
            <w:tcW w:w="19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26EFF" w:rsidRDefault="004119CF" w:rsidP="00C50D06">
            <w:pPr>
              <w:spacing w:before="0"/>
              <w:jc w:val="center"/>
              <w:rPr>
                <w:rFonts w:eastAsia="Arial Unicode MS" w:cs="Arial"/>
                <w:sz w:val="22"/>
              </w:rPr>
            </w:pPr>
            <w:r w:rsidRPr="00426EFF">
              <w:rPr>
                <w:rFonts w:eastAsia="Arial Unicode MS" w:cs="Arial"/>
                <w:sz w:val="22"/>
              </w:rPr>
              <w:t>10</w:t>
            </w:r>
          </w:p>
        </w:tc>
        <w:tc>
          <w:tcPr>
            <w:tcW w:w="1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26EFF" w:rsidRDefault="00426EFF" w:rsidP="00C50D06">
            <w:pPr>
              <w:spacing w:before="0"/>
              <w:jc w:val="center"/>
              <w:rPr>
                <w:rFonts w:eastAsia="Arial Unicode MS" w:cs="Arial"/>
                <w:sz w:val="22"/>
              </w:rPr>
            </w:pPr>
            <w:r>
              <w:rPr>
                <w:rFonts w:eastAsia="Arial Unicode MS" w:cs="Arial"/>
                <w:sz w:val="22"/>
              </w:rPr>
              <w:t>13,5</w:t>
            </w:r>
          </w:p>
        </w:tc>
      </w:tr>
      <w:tr w:rsidR="007C195E" w:rsidRPr="00426EFF" w:rsidTr="00426EFF">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26EFF" w:rsidRDefault="004119CF" w:rsidP="00C50D06">
            <w:pPr>
              <w:spacing w:before="0"/>
              <w:jc w:val="center"/>
              <w:rPr>
                <w:rFonts w:eastAsia="Arial Unicode MS" w:cs="Arial"/>
                <w:sz w:val="22"/>
              </w:rPr>
            </w:pPr>
            <w:r w:rsidRPr="00426EFF">
              <w:rPr>
                <w:rFonts w:eastAsia="Arial Unicode MS" w:cs="Arial"/>
                <w:sz w:val="22"/>
              </w:rPr>
              <w:t>Domácí práce</w:t>
            </w:r>
          </w:p>
        </w:tc>
        <w:tc>
          <w:tcPr>
            <w:tcW w:w="19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26EFF" w:rsidRDefault="004119CF" w:rsidP="00C50D06">
            <w:pPr>
              <w:spacing w:before="0"/>
              <w:jc w:val="center"/>
              <w:rPr>
                <w:rFonts w:eastAsia="Arial Unicode MS" w:cs="Arial"/>
                <w:sz w:val="22"/>
              </w:rPr>
            </w:pPr>
            <w:r w:rsidRPr="00426EFF">
              <w:rPr>
                <w:rFonts w:eastAsia="Arial Unicode MS" w:cs="Arial"/>
                <w:sz w:val="22"/>
              </w:rPr>
              <w:t>8</w:t>
            </w:r>
          </w:p>
        </w:tc>
        <w:tc>
          <w:tcPr>
            <w:tcW w:w="16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195E" w:rsidRPr="00426EFF" w:rsidRDefault="00426EFF" w:rsidP="00C50D06">
            <w:pPr>
              <w:spacing w:before="0"/>
              <w:jc w:val="center"/>
              <w:rPr>
                <w:rFonts w:eastAsia="Arial Unicode MS" w:cs="Arial"/>
                <w:sz w:val="22"/>
              </w:rPr>
            </w:pPr>
            <w:r>
              <w:rPr>
                <w:rFonts w:eastAsia="Arial Unicode MS" w:cs="Arial"/>
                <w:sz w:val="22"/>
              </w:rPr>
              <w:t>10,8</w:t>
            </w:r>
          </w:p>
        </w:tc>
      </w:tr>
      <w:tr w:rsidR="007C195E" w:rsidRPr="005D43D7" w:rsidTr="00C50D06">
        <w:trPr>
          <w:trHeight w:val="297"/>
        </w:trPr>
        <w:tc>
          <w:tcPr>
            <w:tcW w:w="5640"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119CF" w:rsidP="00C50D06">
            <w:pPr>
              <w:spacing w:before="0"/>
              <w:jc w:val="center"/>
              <w:rPr>
                <w:rFonts w:eastAsia="Arial Unicode MS" w:cs="Arial"/>
                <w:sz w:val="22"/>
              </w:rPr>
            </w:pPr>
            <w:r w:rsidRPr="004119CF">
              <w:rPr>
                <w:rFonts w:eastAsia="Arial Unicode MS" w:cs="Arial"/>
                <w:sz w:val="22"/>
              </w:rPr>
              <w:t>Společník (povídání, nebýt sám)</w:t>
            </w:r>
          </w:p>
        </w:tc>
        <w:tc>
          <w:tcPr>
            <w:tcW w:w="1929"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119CF" w:rsidP="00C50D06">
            <w:pPr>
              <w:spacing w:before="0"/>
              <w:jc w:val="center"/>
              <w:rPr>
                <w:rFonts w:eastAsia="Arial Unicode MS" w:cs="Arial"/>
                <w:sz w:val="22"/>
              </w:rPr>
            </w:pPr>
            <w:r>
              <w:rPr>
                <w:rFonts w:eastAsia="Arial Unicode MS" w:cs="Arial"/>
                <w:sz w:val="22"/>
              </w:rPr>
              <w:t>6</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26EFF" w:rsidP="00C50D06">
            <w:pPr>
              <w:spacing w:before="0"/>
              <w:jc w:val="center"/>
              <w:rPr>
                <w:rFonts w:eastAsia="Arial Unicode MS" w:cs="Arial"/>
                <w:sz w:val="22"/>
              </w:rPr>
            </w:pPr>
            <w:r>
              <w:rPr>
                <w:rFonts w:eastAsia="Arial Unicode MS" w:cs="Arial"/>
                <w:sz w:val="22"/>
              </w:rPr>
              <w:t>8,1</w:t>
            </w:r>
          </w:p>
        </w:tc>
      </w:tr>
      <w:tr w:rsidR="007C195E" w:rsidRPr="005D43D7" w:rsidTr="00C50D06">
        <w:trPr>
          <w:trHeight w:val="319"/>
        </w:trPr>
        <w:tc>
          <w:tcPr>
            <w:tcW w:w="5640"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119CF" w:rsidP="00C50D06">
            <w:pPr>
              <w:spacing w:before="0"/>
              <w:jc w:val="center"/>
              <w:rPr>
                <w:rFonts w:cs="Arial"/>
                <w:sz w:val="22"/>
              </w:rPr>
            </w:pPr>
            <w:r>
              <w:rPr>
                <w:rFonts w:cs="Arial"/>
                <w:sz w:val="22"/>
              </w:rPr>
              <w:t>Ostatní</w:t>
            </w:r>
          </w:p>
        </w:tc>
        <w:tc>
          <w:tcPr>
            <w:tcW w:w="1929"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119CF" w:rsidP="00C50D06">
            <w:pPr>
              <w:spacing w:before="0"/>
              <w:jc w:val="center"/>
              <w:rPr>
                <w:rFonts w:eastAsia="Arial Unicode MS" w:cs="Arial"/>
                <w:sz w:val="22"/>
              </w:rPr>
            </w:pPr>
            <w:r>
              <w:rPr>
                <w:rFonts w:eastAsia="Arial Unicode MS" w:cs="Arial"/>
                <w:sz w:val="22"/>
              </w:rPr>
              <w:t>13</w:t>
            </w:r>
          </w:p>
        </w:tc>
        <w:tc>
          <w:tcPr>
            <w:tcW w:w="1626" w:type="dxa"/>
            <w:tcBorders>
              <w:top w:val="single" w:sz="4" w:space="0" w:color="auto"/>
              <w:left w:val="single" w:sz="4" w:space="0" w:color="auto"/>
              <w:bottom w:val="single" w:sz="4" w:space="0" w:color="auto"/>
              <w:right w:val="single" w:sz="4" w:space="0" w:color="auto"/>
            </w:tcBorders>
            <w:shd w:val="clear" w:color="auto" w:fill="ECECEC"/>
            <w:vAlign w:val="center"/>
          </w:tcPr>
          <w:p w:rsidR="007C195E" w:rsidRPr="005D43D7" w:rsidRDefault="00426EFF" w:rsidP="00C50D06">
            <w:pPr>
              <w:spacing w:before="0"/>
              <w:jc w:val="center"/>
              <w:rPr>
                <w:rFonts w:eastAsia="Arial Unicode MS" w:cs="Arial"/>
                <w:sz w:val="22"/>
              </w:rPr>
            </w:pPr>
            <w:r>
              <w:rPr>
                <w:rFonts w:eastAsia="Arial Unicode MS" w:cs="Arial"/>
                <w:sz w:val="22"/>
              </w:rPr>
              <w:t>17,6</w:t>
            </w:r>
          </w:p>
        </w:tc>
      </w:tr>
      <w:tr w:rsidR="007C195E" w:rsidRPr="005D43D7" w:rsidTr="00C50D06">
        <w:trPr>
          <w:trHeight w:val="340"/>
        </w:trPr>
        <w:tc>
          <w:tcPr>
            <w:tcW w:w="5640" w:type="dxa"/>
            <w:tcBorders>
              <w:top w:val="single" w:sz="4" w:space="0" w:color="auto"/>
              <w:left w:val="single" w:sz="4" w:space="0" w:color="auto"/>
              <w:bottom w:val="single" w:sz="4" w:space="0" w:color="auto"/>
              <w:right w:val="single" w:sz="4" w:space="0" w:color="auto"/>
            </w:tcBorders>
            <w:shd w:val="clear" w:color="auto" w:fill="92D050"/>
            <w:vAlign w:val="center"/>
          </w:tcPr>
          <w:p w:rsidR="007C195E" w:rsidRPr="005D43D7" w:rsidRDefault="007C195E" w:rsidP="00C50D06">
            <w:pPr>
              <w:spacing w:before="0"/>
              <w:jc w:val="center"/>
              <w:rPr>
                <w:rFonts w:cs="Arial"/>
                <w:b/>
                <w:bCs/>
                <w:sz w:val="22"/>
              </w:rPr>
            </w:pPr>
            <w:r w:rsidRPr="005D43D7">
              <w:rPr>
                <w:rFonts w:cs="Arial"/>
                <w:b/>
                <w:bCs/>
                <w:sz w:val="22"/>
              </w:rPr>
              <w:t>Celkem</w:t>
            </w:r>
          </w:p>
        </w:tc>
        <w:tc>
          <w:tcPr>
            <w:tcW w:w="1929" w:type="dxa"/>
            <w:tcBorders>
              <w:top w:val="single" w:sz="4" w:space="0" w:color="auto"/>
              <w:left w:val="single" w:sz="4" w:space="0" w:color="auto"/>
              <w:bottom w:val="single" w:sz="4" w:space="0" w:color="auto"/>
              <w:right w:val="single" w:sz="4" w:space="0" w:color="auto"/>
            </w:tcBorders>
            <w:shd w:val="clear" w:color="auto" w:fill="92D050"/>
            <w:vAlign w:val="center"/>
          </w:tcPr>
          <w:p w:rsidR="007C195E" w:rsidRPr="005D43D7" w:rsidRDefault="00426EFF" w:rsidP="00C50D06">
            <w:pPr>
              <w:spacing w:before="0"/>
              <w:jc w:val="center"/>
              <w:rPr>
                <w:rFonts w:eastAsia="Arial Unicode MS" w:cs="Arial"/>
                <w:b/>
                <w:bCs/>
                <w:sz w:val="22"/>
              </w:rPr>
            </w:pPr>
            <w:r>
              <w:rPr>
                <w:rFonts w:eastAsia="Arial Unicode MS" w:cs="Arial"/>
                <w:b/>
                <w:bCs/>
                <w:sz w:val="22"/>
              </w:rPr>
              <w:t>74</w:t>
            </w:r>
          </w:p>
        </w:tc>
        <w:tc>
          <w:tcPr>
            <w:tcW w:w="1626" w:type="dxa"/>
            <w:tcBorders>
              <w:top w:val="single" w:sz="4" w:space="0" w:color="auto"/>
              <w:left w:val="single" w:sz="4" w:space="0" w:color="auto"/>
              <w:bottom w:val="single" w:sz="4" w:space="0" w:color="auto"/>
              <w:right w:val="single" w:sz="4" w:space="0" w:color="auto"/>
            </w:tcBorders>
            <w:shd w:val="clear" w:color="auto" w:fill="92D050"/>
            <w:vAlign w:val="center"/>
          </w:tcPr>
          <w:p w:rsidR="007C195E" w:rsidRPr="005D43D7" w:rsidRDefault="007C195E" w:rsidP="00C50D06">
            <w:pPr>
              <w:spacing w:before="0"/>
              <w:jc w:val="center"/>
              <w:rPr>
                <w:rFonts w:eastAsia="Arial Unicode MS" w:cs="Arial"/>
                <w:b/>
                <w:bCs/>
                <w:sz w:val="22"/>
              </w:rPr>
            </w:pPr>
            <w:r w:rsidRPr="005D43D7">
              <w:rPr>
                <w:rFonts w:cs="Arial" w:hint="eastAsia"/>
                <w:b/>
                <w:bCs/>
                <w:sz w:val="22"/>
              </w:rPr>
              <w:t>100</w:t>
            </w:r>
            <w:r w:rsidRPr="005D43D7">
              <w:rPr>
                <w:rFonts w:cs="Arial"/>
                <w:b/>
                <w:bCs/>
                <w:sz w:val="22"/>
              </w:rPr>
              <w:t>,0</w:t>
            </w:r>
          </w:p>
        </w:tc>
      </w:tr>
    </w:tbl>
    <w:p w:rsidR="007C195E" w:rsidRDefault="007C195E" w:rsidP="00C50D06">
      <w:pPr>
        <w:spacing w:before="0"/>
        <w:jc w:val="right"/>
        <w:rPr>
          <w:sz w:val="16"/>
        </w:rPr>
      </w:pPr>
      <w:r>
        <w:rPr>
          <w:sz w:val="16"/>
        </w:rPr>
        <w:t>Tabulka: AUGUR Consulting</w:t>
      </w:r>
    </w:p>
    <w:p w:rsidR="007C195E" w:rsidRDefault="007C195E" w:rsidP="00C50D06">
      <w:pPr>
        <w:rPr>
          <w:sz w:val="20"/>
        </w:rPr>
      </w:pPr>
      <w:r w:rsidRPr="00222E47">
        <w:rPr>
          <w:b/>
          <w:sz w:val="20"/>
        </w:rPr>
        <w:t xml:space="preserve">Ostatní </w:t>
      </w:r>
      <w:r w:rsidRPr="00222E47">
        <w:rPr>
          <w:sz w:val="20"/>
        </w:rPr>
        <w:t>(tj. odpovědi se stati</w:t>
      </w:r>
      <w:r>
        <w:rPr>
          <w:sz w:val="20"/>
        </w:rPr>
        <w:t>sticky nevýznamnými četnostmi):</w:t>
      </w:r>
      <w:r w:rsidR="004119CF">
        <w:rPr>
          <w:sz w:val="20"/>
        </w:rPr>
        <w:t xml:space="preserve"> pomoc s péčí o dítě</w:t>
      </w:r>
      <w:r w:rsidR="00426EFF">
        <w:rPr>
          <w:sz w:val="20"/>
        </w:rPr>
        <w:t>, se vším, nevím atd.</w:t>
      </w:r>
    </w:p>
    <w:p w:rsidR="007C195E" w:rsidRDefault="007C195E" w:rsidP="00C50D06">
      <w:pPr>
        <w:rPr>
          <w:sz w:val="20"/>
        </w:rPr>
      </w:pPr>
    </w:p>
    <w:p w:rsidR="00C77E5B" w:rsidRDefault="00C77E5B" w:rsidP="00C77E5B">
      <w:r>
        <w:t>Podle názoru téměř tří respondentů z deseti (28,3 %)</w:t>
      </w:r>
      <w:r w:rsidR="00300BC3">
        <w:t xml:space="preserve"> chybí ve Velkém Meziříčí </w:t>
      </w:r>
      <w:r w:rsidR="00300BC3" w:rsidRPr="003E42CF">
        <w:rPr>
          <w:b/>
        </w:rPr>
        <w:t>c</w:t>
      </w:r>
      <w:r w:rsidRPr="003E42CF">
        <w:rPr>
          <w:b/>
        </w:rPr>
        <w:t>hráněné bydlení pro osoby se zdravotním postižením</w:t>
      </w:r>
      <w:r>
        <w:t xml:space="preserve">, které nejsou zcela soběstačné. Téměř stejně početná skupina </w:t>
      </w:r>
      <w:r w:rsidR="00300BC3">
        <w:t xml:space="preserve">(27,6 %) </w:t>
      </w:r>
      <w:r>
        <w:t xml:space="preserve">se domnívá, že </w:t>
      </w:r>
      <w:r w:rsidRPr="003E42CF">
        <w:rPr>
          <w:b/>
        </w:rPr>
        <w:t xml:space="preserve">schází </w:t>
      </w:r>
      <w:r w:rsidR="00300BC3" w:rsidRPr="003E42CF">
        <w:rPr>
          <w:b/>
        </w:rPr>
        <w:t>r</w:t>
      </w:r>
      <w:r w:rsidRPr="003E42CF">
        <w:rPr>
          <w:b/>
        </w:rPr>
        <w:t>espitní péče – pomoc při péči o blízkou osobu</w:t>
      </w:r>
      <w:r w:rsidR="00300BC3" w:rsidRPr="003E42CF">
        <w:rPr>
          <w:b/>
        </w:rPr>
        <w:t xml:space="preserve"> na přechodnou dobu s cílem poskytnout pečující osobě odpočinek, </w:t>
      </w:r>
      <w:r w:rsidR="00300BC3" w:rsidRPr="003E42CF">
        <w:t>pětina dotázaných</w:t>
      </w:r>
      <w:r w:rsidR="00300BC3" w:rsidRPr="003E42CF">
        <w:rPr>
          <w:b/>
        </w:rPr>
        <w:t xml:space="preserve"> </w:t>
      </w:r>
      <w:r w:rsidR="00300BC3">
        <w:t>(20,0 %) uvedla podporované bydlení tj. bydlení, které svými vlastnostmi a službami v něm poskytovanými pomáhá bydlet lidem se zvláštními potřebami. Dále byla zmíněna krátkodobá péče při nesoběstačnosti (17,9 %), zvýhodněná doprava na zavolání či objednání – „Handicap taxi“ (15,2 %), denní stacionář – zařízení pro krátkodobé pobyty se zajištěnou péčí (13,8 %) a tísňová péče – okamžitá pomoc na zavolání telefonem nebo stisknutím tísňového tlačítka (8,3 %).</w:t>
      </w:r>
      <w:r w:rsidR="00BB2002">
        <w:t xml:space="preserve"> Výsledky můžeme vidět v následujícím grafu č. 31. </w:t>
      </w:r>
    </w:p>
    <w:p w:rsidR="00BB2002" w:rsidRDefault="00873A8E" w:rsidP="00C50D06">
      <w:r w:rsidRPr="00640D8E">
        <w:rPr>
          <w:noProof/>
          <w:lang w:eastAsia="cs-CZ"/>
        </w:rPr>
        <mc:AlternateContent>
          <mc:Choice Requires="wps">
            <w:drawing>
              <wp:anchor distT="0" distB="0" distL="114300" distR="114300" simplePos="0" relativeHeight="251725824" behindDoc="0" locked="0" layoutInCell="1" allowOverlap="1" wp14:anchorId="0CB7C77A" wp14:editId="016C46E0">
                <wp:simplePos x="0" y="0"/>
                <wp:positionH relativeFrom="column">
                  <wp:posOffset>83185</wp:posOffset>
                </wp:positionH>
                <wp:positionV relativeFrom="paragraph">
                  <wp:posOffset>4730115</wp:posOffset>
                </wp:positionV>
                <wp:extent cx="5592445" cy="368935"/>
                <wp:effectExtent l="0" t="0" r="0" b="0"/>
                <wp:wrapNone/>
                <wp:docPr id="33"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873A8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98,6 %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44" type="#_x0000_t202" style="position:absolute;left:0;text-align:left;margin-left:6.55pt;margin-top:372.45pt;width:440.35pt;height:29.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" filled="f" stroked="f">
                <v:textbox style="mso-fit-shape-to-text:t">
                  <w:txbxContent>
                    <w:p w:rsidR="00D822DB" w:rsidRDefault="00D822DB" w:rsidP="00873A8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98,6 %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p>
    <w:p w:rsidR="00BB2002" w:rsidRDefault="00BB2002" w:rsidP="00BB2002">
      <w:pPr>
        <w:pStyle w:val="Titulek"/>
        <w:keepNext/>
      </w:pPr>
      <w:bookmarkStart w:id="111" w:name="_Toc367357533"/>
      <w:r>
        <w:t xml:space="preserve">Graf č. </w:t>
      </w:r>
      <w:r w:rsidR="00EE3646">
        <w:fldChar w:fldCharType="begin"/>
      </w:r>
      <w:r w:rsidR="00EE3646">
        <w:instrText xml:space="preserve"> SEQ Graf_č. \* ARABIC </w:instrText>
      </w:r>
      <w:r w:rsidR="00EE3646">
        <w:fldChar w:fldCharType="separate"/>
      </w:r>
      <w:r w:rsidR="00B16210">
        <w:rPr>
          <w:noProof/>
        </w:rPr>
        <w:t>31</w:t>
      </w:r>
      <w:r w:rsidR="00EE3646">
        <w:rPr>
          <w:noProof/>
        </w:rPr>
        <w:fldChar w:fldCharType="end"/>
      </w:r>
      <w:r>
        <w:t xml:space="preserve">: </w:t>
      </w:r>
      <w:r>
        <w:rPr>
          <w:b w:val="0"/>
        </w:rPr>
        <w:t>Chybějící služby a pomoc pro osoby se zdravotním postižením a jejich rodiny.</w:t>
      </w:r>
      <w:bookmarkEnd w:id="111"/>
    </w:p>
    <w:p w:rsidR="007C195E" w:rsidRDefault="00BB2002" w:rsidP="00C50D06">
      <w:pPr>
        <w:rPr>
          <w:rFonts w:ascii="Calibri" w:eastAsia="Times New Roman" w:hAnsi="Calibri"/>
          <w:color w:val="A6A6A6"/>
          <w:kern w:val="24"/>
          <w:sz w:val="18"/>
          <w:szCs w:val="18"/>
        </w:rPr>
      </w:pPr>
      <w:r w:rsidRPr="00640D8E">
        <w:rPr>
          <w:noProof/>
          <w:lang w:eastAsia="cs-CZ"/>
        </w:rPr>
        <mc:AlternateContent>
          <mc:Choice Requires="wps">
            <w:drawing>
              <wp:anchor distT="0" distB="0" distL="114300" distR="114300" simplePos="0" relativeHeight="251731968" behindDoc="0" locked="0" layoutInCell="1" allowOverlap="1" wp14:anchorId="31E7B1A7" wp14:editId="209728F1">
                <wp:simplePos x="0" y="0"/>
                <wp:positionH relativeFrom="column">
                  <wp:posOffset>83185</wp:posOffset>
                </wp:positionH>
                <wp:positionV relativeFrom="paragraph">
                  <wp:posOffset>4723765</wp:posOffset>
                </wp:positionV>
                <wp:extent cx="5592445" cy="368935"/>
                <wp:effectExtent l="0" t="0" r="0" b="0"/>
                <wp:wrapNone/>
                <wp:docPr id="19"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BB2002">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98,6 %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45" type="#_x0000_t202" style="position:absolute;left:0;text-align:left;margin-left:6.55pt;margin-top:371.95pt;width:440.35pt;height:29.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" filled="f" stroked="f">
                <v:textbox style="mso-fit-shape-to-text:t">
                  <w:txbxContent>
                    <w:p w:rsidR="00D822DB" w:rsidRDefault="00D822DB" w:rsidP="00BB2002">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98,6 %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7C195E" w:rsidRPr="00792D89">
        <w:rPr>
          <w:noProof/>
          <w:color w:val="FF0000"/>
          <w:lang w:eastAsia="cs-CZ"/>
        </w:rPr>
        <w:drawing>
          <wp:inline distT="0" distB="0" distL="0" distR="0" wp14:anchorId="620A5949" wp14:editId="421042C3">
            <wp:extent cx="5730949" cy="4922875"/>
            <wp:effectExtent l="0" t="0" r="22225" b="11430"/>
            <wp:docPr id="2068"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33505" w:rsidRPr="0074191E" w:rsidRDefault="00873A8E" w:rsidP="00873A8E">
      <w:pPr>
        <w:rPr>
          <w:sz w:val="20"/>
        </w:rPr>
      </w:pPr>
      <w:r w:rsidRPr="0074191E">
        <w:rPr>
          <w:b/>
          <w:sz w:val="20"/>
        </w:rPr>
        <w:t>Jiné</w:t>
      </w:r>
      <w:r w:rsidRPr="0074191E">
        <w:rPr>
          <w:sz w:val="20"/>
        </w:rPr>
        <w:t xml:space="preserve">: </w:t>
      </w:r>
      <w:r w:rsidR="0074191E" w:rsidRPr="0074191E">
        <w:rPr>
          <w:sz w:val="20"/>
        </w:rPr>
        <w:t>obědy v sobotu i v neděli, chráněné dílny, lepší orientační značení, sociální pracovník.</w:t>
      </w:r>
    </w:p>
    <w:p w:rsidR="00300BC3" w:rsidRDefault="00300BC3" w:rsidP="00300BC3"/>
    <w:p w:rsidR="00300BC3" w:rsidRDefault="00300BC3" w:rsidP="00300BC3">
      <w:r>
        <w:t xml:space="preserve">Z názoru respondentů vyplývá, že pro snazší pohyb po Velkém Meziříčí </w:t>
      </w:r>
      <w:r w:rsidRPr="006703B7">
        <w:rPr>
          <w:b/>
        </w:rPr>
        <w:t>schází bezbariérové přístupy všude tam, kde jsou nyní schody a jiné překážky</w:t>
      </w:r>
      <w:r>
        <w:t xml:space="preserve"> (33,3 %) a pravidelné linky nízkopodlažních autobusů (25,0 %). Dále pak bezbariérové přechody pro chodce (15,3 %), ozvučení MHD – hlášení zastávek (14,6 %), ozvučené křižovatky (12,5 %) a bezbariérové přístupy k poskytovatelům sociálních služeb (11,1 %). Méně než desetina dotázaných se domnívá, že </w:t>
      </w:r>
      <w:r w:rsidR="0024088C">
        <w:t xml:space="preserve">pro snazší pohyb postižených po městě </w:t>
      </w:r>
      <w:r>
        <w:t>chybí bez</w:t>
      </w:r>
      <w:r w:rsidR="0024088C">
        <w:t>bariérové veřejné WC (9,0 %), propojení navigace nevidomých (VPN) se systémy v bankách, na poštách, úřadech, aby tyto budovy snadno našli a orientovali se uvnitř (8,3 %), vodící linie (4,9 %) a světelné označení zastávek v MHD (4,9 %). Pouze malá část respondentů se domnívá, že je vše v pořádku a není třeba nic měnit (6,9 %). Výsledky do</w:t>
      </w:r>
      <w:r w:rsidR="005632FE">
        <w:t>kumentuje následující graf č. </w:t>
      </w:r>
      <w:r w:rsidR="00B16210">
        <w:t>32</w:t>
      </w:r>
      <w:r w:rsidR="0024088C">
        <w:t>. Podrobný výpis míst, kde schází bezbariérové přístupy a vodící linie je uveden pod grafem.</w:t>
      </w:r>
    </w:p>
    <w:p w:rsidR="00300BC3" w:rsidRDefault="00300BC3" w:rsidP="00300BC3"/>
    <w:p w:rsidR="00B16210" w:rsidRDefault="00873A8E" w:rsidP="00C50D06">
      <w:r w:rsidRPr="00640D8E">
        <w:rPr>
          <w:noProof/>
          <w:lang w:eastAsia="cs-CZ"/>
        </w:rPr>
        <mc:AlternateContent>
          <mc:Choice Requires="wps">
            <w:drawing>
              <wp:anchor distT="0" distB="0" distL="114300" distR="114300" simplePos="0" relativeHeight="251727872" behindDoc="0" locked="0" layoutInCell="1" allowOverlap="1" wp14:anchorId="04DE1107" wp14:editId="563FF961">
                <wp:simplePos x="0" y="0"/>
                <wp:positionH relativeFrom="column">
                  <wp:posOffset>146685</wp:posOffset>
                </wp:positionH>
                <wp:positionV relativeFrom="paragraph">
                  <wp:posOffset>6248400</wp:posOffset>
                </wp:positionV>
                <wp:extent cx="5592445" cy="368935"/>
                <wp:effectExtent l="0" t="0" r="0" b="0"/>
                <wp:wrapNone/>
                <wp:docPr id="35"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873A8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98,0 %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46" type="#_x0000_t202" style="position:absolute;left:0;text-align:left;margin-left:11.55pt;margin-top:492pt;width:440.35pt;height:29.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" filled="f" stroked="f">
                <v:textbox style="mso-fit-shape-to-text:t">
                  <w:txbxContent>
                    <w:p w:rsidR="00D822DB" w:rsidRDefault="00D822DB" w:rsidP="00873A8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98,0 %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p>
    <w:p w:rsidR="00B16210" w:rsidRDefault="00B16210" w:rsidP="00B16210">
      <w:pPr>
        <w:pStyle w:val="Titulek"/>
        <w:keepNext/>
      </w:pPr>
      <w:bookmarkStart w:id="112" w:name="_Toc367357534"/>
      <w:r>
        <w:t xml:space="preserve">Graf č. </w:t>
      </w:r>
      <w:r w:rsidR="00EE3646">
        <w:fldChar w:fldCharType="begin"/>
      </w:r>
      <w:r w:rsidR="00EE3646">
        <w:instrText xml:space="preserve"> SEQ Graf_č. \* ARABIC </w:instrText>
      </w:r>
      <w:r w:rsidR="00EE3646">
        <w:fldChar w:fldCharType="separate"/>
      </w:r>
      <w:r>
        <w:rPr>
          <w:noProof/>
        </w:rPr>
        <w:t>32</w:t>
      </w:r>
      <w:r w:rsidR="00EE3646">
        <w:rPr>
          <w:noProof/>
        </w:rPr>
        <w:fldChar w:fldCharType="end"/>
      </w:r>
      <w:r>
        <w:t>:</w:t>
      </w:r>
      <w:r>
        <w:rPr>
          <w:b w:val="0"/>
        </w:rPr>
        <w:t xml:space="preserve"> Chybějící prostředky pro snazší pohyb po Velkém Meziříčí.</w:t>
      </w:r>
      <w:bookmarkEnd w:id="112"/>
      <w:r>
        <w:rPr>
          <w:b w:val="0"/>
        </w:rPr>
        <w:t xml:space="preserve"> </w:t>
      </w:r>
    </w:p>
    <w:p w:rsidR="00333505" w:rsidRDefault="0072544D" w:rsidP="00C50D06">
      <w:pPr>
        <w:rPr>
          <w:rFonts w:ascii="Calibri" w:eastAsia="Times New Roman" w:hAnsi="Calibri"/>
          <w:color w:val="A6A6A6"/>
          <w:kern w:val="24"/>
          <w:sz w:val="18"/>
          <w:szCs w:val="18"/>
        </w:rPr>
      </w:pPr>
      <w:r w:rsidRPr="00640D8E">
        <w:rPr>
          <w:noProof/>
          <w:lang w:eastAsia="cs-CZ"/>
        </w:rPr>
        <mc:AlternateContent>
          <mc:Choice Requires="wps">
            <w:drawing>
              <wp:anchor distT="0" distB="0" distL="114300" distR="114300" simplePos="0" relativeHeight="251740160" behindDoc="0" locked="0" layoutInCell="1" allowOverlap="1" wp14:anchorId="6F4EF526" wp14:editId="431F96C2">
                <wp:simplePos x="0" y="0"/>
                <wp:positionH relativeFrom="column">
                  <wp:posOffset>62526</wp:posOffset>
                </wp:positionH>
                <wp:positionV relativeFrom="paragraph">
                  <wp:posOffset>6246495</wp:posOffset>
                </wp:positionV>
                <wp:extent cx="5592445" cy="368935"/>
                <wp:effectExtent l="0" t="0" r="0" b="0"/>
                <wp:wrapNone/>
                <wp:docPr id="225"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72544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98,0 %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47" type="#_x0000_t202" style="position:absolute;left:0;text-align:left;margin-left:4.9pt;margin-top:491.85pt;width:440.35pt;height:29.0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" filled="f" stroked="f">
                <v:textbox style="mso-fit-shape-to-text:t">
                  <w:txbxContent>
                    <w:p w:rsidR="00D822DB" w:rsidRDefault="00D822DB" w:rsidP="0072544D">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98,0 %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333505" w:rsidRPr="00792D89">
        <w:rPr>
          <w:noProof/>
          <w:color w:val="FF0000"/>
          <w:lang w:eastAsia="cs-CZ"/>
        </w:rPr>
        <w:drawing>
          <wp:inline distT="0" distB="0" distL="0" distR="0" wp14:anchorId="2DE77628" wp14:editId="23ACA2AB">
            <wp:extent cx="5730949" cy="6432698"/>
            <wp:effectExtent l="0" t="0" r="22225" b="25400"/>
            <wp:docPr id="2070"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33505" w:rsidRPr="0024088C" w:rsidRDefault="0074191E" w:rsidP="0074191E">
      <w:pPr>
        <w:rPr>
          <w:sz w:val="22"/>
        </w:rPr>
      </w:pPr>
      <w:r w:rsidRPr="0024088C">
        <w:rPr>
          <w:b/>
          <w:sz w:val="22"/>
        </w:rPr>
        <w:t>Bezbariérové přístupy</w:t>
      </w:r>
      <w:r w:rsidRPr="0024088C">
        <w:rPr>
          <w:sz w:val="22"/>
        </w:rPr>
        <w:t>: Dům zdraví, chodníky jsou hrbaté, poliklinika – nová budova, pošta, MÚ atd.</w:t>
      </w:r>
    </w:p>
    <w:p w:rsidR="0074191E" w:rsidRPr="0024088C" w:rsidRDefault="0074191E" w:rsidP="0074191E">
      <w:pPr>
        <w:rPr>
          <w:sz w:val="22"/>
        </w:rPr>
      </w:pPr>
      <w:r w:rsidRPr="0024088C">
        <w:rPr>
          <w:b/>
          <w:sz w:val="22"/>
        </w:rPr>
        <w:t>Vodící linie</w:t>
      </w:r>
      <w:r w:rsidRPr="0024088C">
        <w:rPr>
          <w:sz w:val="22"/>
        </w:rPr>
        <w:t>: náměstí, poliklinika, přechody pro chodce, pošta.</w:t>
      </w:r>
    </w:p>
    <w:p w:rsidR="0074191E" w:rsidRDefault="0074191E" w:rsidP="0074191E"/>
    <w:p w:rsidR="00AA69E3" w:rsidRDefault="00AA69E3" w:rsidP="0074191E">
      <w:r>
        <w:t xml:space="preserve">V případě, že by respondent pro sebe či pro svou blízkou osobu potřeboval zajistit stálou péči a pomoc, dal by převážně přednost žít ve vlastní domácnosti s využitím sociálních služeb poskytovaných v domácnosti a případně pomoci blízkých (24,0 %). Téměř dvacetina respondentů uvedla, že by bydlela v některém zařízení zajišťujícím dlouhodobý pobyt </w:t>
      </w:r>
      <w:r w:rsidR="00DE6826">
        <w:t>(19,9 %) nebo ve vlastní domácnosti s využitím pomoci blízkých</w:t>
      </w:r>
      <w:r w:rsidR="006703B7">
        <w:t>,</w:t>
      </w:r>
      <w:r w:rsidR="00DE6826">
        <w:t xml:space="preserve"> rodiny, přátel, dobrovolníků (18,5 %). Žít v domě s pečovatelskou službou by si vybralo 17,1 % dotázaných stejně tak jako nějaký typ chráněného bydlení (17,1 %). Žít ve vlastní domácnosti s využitím kombinace sociálních služeb poskytovaných v domácnosti a pobytem ve stacionáři uvedlo 15,8 % respondentů. Výsledky jsou uv</w:t>
      </w:r>
      <w:r w:rsidR="00B16210">
        <w:t>edeny v následujícím grafu č. 33</w:t>
      </w:r>
      <w:r w:rsidR="00DE6826">
        <w:t>.</w:t>
      </w:r>
    </w:p>
    <w:p w:rsidR="00B16210" w:rsidRDefault="00B16210" w:rsidP="00C50D06"/>
    <w:p w:rsidR="00B16210" w:rsidRDefault="00B16210" w:rsidP="00B16210">
      <w:pPr>
        <w:pStyle w:val="Titulek"/>
        <w:keepNext/>
      </w:pPr>
      <w:bookmarkStart w:id="113" w:name="_Toc367357535"/>
      <w:r>
        <w:t xml:space="preserve">Graf č. </w:t>
      </w:r>
      <w:r w:rsidR="00EE3646">
        <w:fldChar w:fldCharType="begin"/>
      </w:r>
      <w:r w:rsidR="00EE3646">
        <w:instrText xml:space="preserve"> SEQ Graf_č. \* ARABIC </w:instrText>
      </w:r>
      <w:r w:rsidR="00EE3646">
        <w:fldChar w:fldCharType="separate"/>
      </w:r>
      <w:r>
        <w:rPr>
          <w:noProof/>
        </w:rPr>
        <w:t>33</w:t>
      </w:r>
      <w:r w:rsidR="00EE3646">
        <w:rPr>
          <w:noProof/>
        </w:rPr>
        <w:fldChar w:fldCharType="end"/>
      </w:r>
      <w:r>
        <w:t xml:space="preserve">: </w:t>
      </w:r>
      <w:r>
        <w:rPr>
          <w:b w:val="0"/>
        </w:rPr>
        <w:t>Forma stálé péče a pomoci.</w:t>
      </w:r>
      <w:bookmarkEnd w:id="113"/>
    </w:p>
    <w:p w:rsidR="00333505" w:rsidRDefault="0099390E" w:rsidP="00C50D06">
      <w:pPr>
        <w:rPr>
          <w:b/>
          <w:sz w:val="20"/>
        </w:rPr>
      </w:pPr>
      <w:r w:rsidRPr="00640D8E">
        <w:rPr>
          <w:noProof/>
          <w:lang w:eastAsia="cs-CZ"/>
        </w:rPr>
        <mc:AlternateContent>
          <mc:Choice Requires="wps">
            <w:drawing>
              <wp:anchor distT="0" distB="0" distL="114300" distR="114300" simplePos="0" relativeHeight="251729920" behindDoc="0" locked="0" layoutInCell="1" allowOverlap="1" wp14:anchorId="30E92E33" wp14:editId="7C9E1737">
                <wp:simplePos x="0" y="0"/>
                <wp:positionH relativeFrom="column">
                  <wp:posOffset>1270</wp:posOffset>
                </wp:positionH>
                <wp:positionV relativeFrom="paragraph">
                  <wp:posOffset>4385945</wp:posOffset>
                </wp:positionV>
                <wp:extent cx="5592445" cy="368935"/>
                <wp:effectExtent l="0" t="0" r="0" b="0"/>
                <wp:wrapNone/>
                <wp:docPr id="36" name="TextovéPole 4"/>
                <wp:cNvGraphicFramePr/>
                <a:graphic xmlns:a="http://schemas.openxmlformats.org/drawingml/2006/main">
                  <a:graphicData uri="http://schemas.microsoft.com/office/word/2010/wordprocessingShape">
                    <wps:wsp>
                      <wps:cNvSpPr txBox="1"/>
                      <wps:spPr>
                        <a:xfrm>
                          <a:off x="0" y="0"/>
                          <a:ext cx="5592445" cy="368935"/>
                        </a:xfrm>
                        <a:prstGeom prst="rect">
                          <a:avLst/>
                        </a:prstGeom>
                        <a:noFill/>
                      </wps:spPr>
                      <wps:txbx>
                        <w:txbxContent>
                          <w:p w:rsidR="00D822DB" w:rsidRDefault="00D822DB" w:rsidP="0074191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wps:txbx>
                      <wps:bodyPr wrap="square" rtlCol="0">
                        <a:spAutoFit/>
                      </wps:bodyPr>
                    </wps:wsp>
                  </a:graphicData>
                </a:graphic>
                <wp14:sizeRelH relativeFrom="margin">
                  <wp14:pctWidth>0</wp14:pctWidth>
                </wp14:sizeRelH>
              </wp:anchor>
            </w:drawing>
          </mc:Choice>
          <mc:Fallback>
            <w:pict>
              <v:shape id="_x0000_s1048" type="#_x0000_t202" style="position:absolute;left:0;text-align:left;margin-left:.1pt;margin-top:345.35pt;width:440.35pt;height:29.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" filled="f" stroked="f">
                <v:textbox style="mso-fit-shape-to-text:t">
                  <w:txbxContent>
                    <w:p w:rsidR="00D822DB" w:rsidRDefault="00D822DB" w:rsidP="0074191E">
                      <w:pPr>
                        <w:pStyle w:val="Normlnweb"/>
                        <w:spacing w:before="0" w:beforeAutospacing="0" w:after="0" w:afterAutospacing="0"/>
                      </w:pPr>
                      <w:r>
                        <w:rPr>
                          <w:rFonts w:asciiTheme="minorHAnsi" w:hAnsi="Calibri" w:cstheme="minorBidi"/>
                          <w:color w:val="A6A6A6" w:themeColor="background1" w:themeShade="A6"/>
                          <w:kern w:val="24"/>
                          <w:sz w:val="18"/>
                          <w:szCs w:val="18"/>
                        </w:rPr>
                        <w:t>Velké Meziříčí, n = 147, odpovědělo 99,3 % respondentů.</w:t>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r>
                      <w:r>
                        <w:rPr>
                          <w:rFonts w:asciiTheme="minorHAnsi" w:hAnsi="Calibri" w:cstheme="minorBidi"/>
                          <w:color w:val="A6A6A6" w:themeColor="background1" w:themeShade="A6"/>
                          <w:kern w:val="24"/>
                          <w:sz w:val="18"/>
                          <w:szCs w:val="18"/>
                        </w:rPr>
                        <w:tab/>
                        <w:t>Graf: AUGUR Consulting 2013</w:t>
                      </w:r>
                    </w:p>
                  </w:txbxContent>
                </v:textbox>
              </v:shape>
            </w:pict>
          </mc:Fallback>
        </mc:AlternateContent>
      </w:r>
      <w:r w:rsidR="00333505" w:rsidRPr="00792D89">
        <w:rPr>
          <w:noProof/>
          <w:color w:val="FF0000"/>
          <w:lang w:eastAsia="cs-CZ"/>
        </w:rPr>
        <w:drawing>
          <wp:inline distT="0" distB="0" distL="0" distR="0" wp14:anchorId="57ED9E20" wp14:editId="51D82949">
            <wp:extent cx="5730949" cy="4582633"/>
            <wp:effectExtent l="0" t="0" r="22225" b="27940"/>
            <wp:docPr id="2072"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50D06" w:rsidRDefault="00C50D06" w:rsidP="00C50D06">
      <w:pPr>
        <w:rPr>
          <w:b/>
          <w:sz w:val="20"/>
        </w:rPr>
      </w:pPr>
    </w:p>
    <w:p w:rsidR="00426EFF" w:rsidRDefault="00426EFF">
      <w:pPr>
        <w:spacing w:before="0" w:after="200" w:line="276" w:lineRule="auto"/>
        <w:jc w:val="left"/>
        <w:rPr>
          <w:rFonts w:eastAsiaTheme="majorEastAsia" w:cstheme="majorBidi"/>
          <w:b/>
          <w:bCs/>
          <w:color w:val="FF0000"/>
          <w:sz w:val="28"/>
          <w:szCs w:val="28"/>
        </w:rPr>
      </w:pPr>
      <w:r>
        <w:br w:type="page"/>
      </w:r>
    </w:p>
    <w:p w:rsidR="00A409D3" w:rsidRDefault="00A409D3" w:rsidP="00352DD0">
      <w:pPr>
        <w:pStyle w:val="Nadpis1"/>
        <w:numPr>
          <w:ilvl w:val="0"/>
          <w:numId w:val="0"/>
        </w:numPr>
      </w:pPr>
      <w:bookmarkStart w:id="114" w:name="_Toc367278175"/>
      <w:r>
        <w:t>SHRNUTÍ HLAVNÍCH ZJIŠTĚNÍ A RÁMCOVÁ DOPORUČENÍ</w:t>
      </w:r>
      <w:bookmarkEnd w:id="114"/>
    </w:p>
    <w:p w:rsidR="00884916" w:rsidRDefault="00884916">
      <w:pPr>
        <w:spacing w:before="0" w:after="200" w:line="276" w:lineRule="auto"/>
        <w:jc w:val="left"/>
      </w:pPr>
      <w:bookmarkStart w:id="115" w:name="_Toc367278176"/>
    </w:p>
    <w:p w:rsidR="00884916" w:rsidRDefault="00884916" w:rsidP="00884916">
      <w:pPr>
        <w:spacing w:before="0"/>
        <w:rPr>
          <w:rFonts w:cs="Arial"/>
          <w:szCs w:val="14"/>
        </w:rPr>
      </w:pPr>
      <w:r>
        <w:rPr>
          <w:rFonts w:cs="Arial"/>
          <w:szCs w:val="14"/>
        </w:rPr>
        <w:t>V závěru si dovoluje s</w:t>
      </w:r>
      <w:r w:rsidRPr="00111515">
        <w:rPr>
          <w:rFonts w:cs="Arial"/>
          <w:szCs w:val="14"/>
        </w:rPr>
        <w:t xml:space="preserve">polečnost AUGUR Consulting s.r.o. </w:t>
      </w:r>
      <w:r>
        <w:rPr>
          <w:rFonts w:cs="Arial"/>
          <w:szCs w:val="14"/>
        </w:rPr>
        <w:t>uskutečnit stručnou rekapitulaci hlavních zjištění, které vyplývají z realizovaných</w:t>
      </w:r>
      <w:r w:rsidRPr="00111515">
        <w:rPr>
          <w:rFonts w:cs="Arial"/>
          <w:szCs w:val="14"/>
        </w:rPr>
        <w:t xml:space="preserve"> </w:t>
      </w:r>
      <w:r>
        <w:rPr>
          <w:rFonts w:cs="Arial"/>
          <w:szCs w:val="14"/>
        </w:rPr>
        <w:t xml:space="preserve">analýz. </w:t>
      </w:r>
      <w:r w:rsidR="004151E4">
        <w:rPr>
          <w:rFonts w:cs="Arial"/>
          <w:szCs w:val="14"/>
        </w:rPr>
        <w:t>Zprostředkované výsledky by měly</w:t>
      </w:r>
      <w:r>
        <w:rPr>
          <w:rFonts w:cs="Arial"/>
          <w:szCs w:val="14"/>
        </w:rPr>
        <w:t xml:space="preserve"> být podkladem pro „Střednědobý plán rozvoje sociálních služeb ve</w:t>
      </w:r>
      <w:r w:rsidR="004151E4">
        <w:rPr>
          <w:rFonts w:cs="Arial"/>
          <w:szCs w:val="14"/>
        </w:rPr>
        <w:t> </w:t>
      </w:r>
      <w:r>
        <w:rPr>
          <w:rFonts w:cs="Arial"/>
          <w:szCs w:val="14"/>
        </w:rPr>
        <w:t xml:space="preserve">městě Velké Meziříčí“. </w:t>
      </w:r>
    </w:p>
    <w:p w:rsidR="00884916" w:rsidRDefault="00884916" w:rsidP="00884916">
      <w:pPr>
        <w:tabs>
          <w:tab w:val="left" w:pos="4755"/>
        </w:tabs>
        <w:spacing w:before="0"/>
        <w:rPr>
          <w:rFonts w:cs="Arial"/>
          <w:szCs w:val="14"/>
        </w:rPr>
      </w:pPr>
      <w:r>
        <w:rPr>
          <w:rFonts w:cs="Arial"/>
          <w:szCs w:val="14"/>
        </w:rPr>
        <w:t>Při zpracování odborných analýz byla využita metoda integrovaného přístupu. To</w:t>
      </w:r>
      <w:r w:rsidR="004151E4">
        <w:t> </w:t>
      </w:r>
      <w:r>
        <w:rPr>
          <w:rFonts w:cs="Arial"/>
          <w:szCs w:val="14"/>
        </w:rPr>
        <w:t xml:space="preserve">znamená, že při analýzách byla zohledněna data primárního i sekundárního charakteru, byly použity kvantitativní i kvalitativní přístupy. </w:t>
      </w:r>
    </w:p>
    <w:p w:rsidR="00884916" w:rsidRDefault="00884916" w:rsidP="00884916">
      <w:pPr>
        <w:spacing w:before="0"/>
        <w:rPr>
          <w:rFonts w:cs="Arial"/>
          <w:szCs w:val="14"/>
        </w:rPr>
      </w:pPr>
      <w:r>
        <w:rPr>
          <w:rFonts w:cs="Arial"/>
          <w:szCs w:val="14"/>
        </w:rPr>
        <w:t xml:space="preserve">Výstupem projektu je závěrečná zpráva, která byla vypracována jako relevantní dokument týkající se potřebnosti sociálních služeb ve městě Velké Meziříčí a může sloužit také jako podklad pro přerozdělování finančních prostředků do sociální oblasti mj. i krajem Vysočina od 1. 1. 2015. </w:t>
      </w:r>
    </w:p>
    <w:p w:rsidR="00884916" w:rsidRPr="006B5DCB" w:rsidRDefault="00884916" w:rsidP="00884916">
      <w:pPr>
        <w:spacing w:before="0"/>
      </w:pPr>
      <w:r>
        <w:t xml:space="preserve">V rámci šetření bylo pracováno s nejpočetnějšími cílovými skupinami uživatelů sociálních </w:t>
      </w:r>
      <w:r w:rsidR="004151E4">
        <w:t>služeb tj. seniory</w:t>
      </w:r>
      <w:r w:rsidRPr="006B5DCB">
        <w:t>, osob</w:t>
      </w:r>
      <w:r w:rsidR="004151E4">
        <w:t>ami</w:t>
      </w:r>
      <w:r w:rsidRPr="006B5DCB">
        <w:t xml:space="preserve"> se zdravotním postižením (osoby</w:t>
      </w:r>
      <w:r w:rsidRPr="00030526">
        <w:t xml:space="preserve"> s tělesným postižením</w:t>
      </w:r>
      <w:r>
        <w:t>, o</w:t>
      </w:r>
      <w:r w:rsidRPr="00030526">
        <w:t>soby s mentálním a kombinovaným postižením</w:t>
      </w:r>
      <w:r>
        <w:t xml:space="preserve"> a o</w:t>
      </w:r>
      <w:r w:rsidRPr="00030526">
        <w:t>soby se smyslovým postižením (omezení zraku a sluchu).</w:t>
      </w:r>
      <w:r>
        <w:t xml:space="preserve"> </w:t>
      </w:r>
      <w:r w:rsidRPr="00030526">
        <w:t>Je však žádoucí, aby s</w:t>
      </w:r>
      <w:r>
        <w:t>e</w:t>
      </w:r>
      <w:r w:rsidRPr="00030526">
        <w:t> v</w:t>
      </w:r>
      <w:r>
        <w:t xml:space="preserve"> nadcházejícím </w:t>
      </w:r>
      <w:r w:rsidRPr="00030526">
        <w:t>období rozsah analýz zaměřil i na další cílové skupiny</w:t>
      </w:r>
      <w:r w:rsidR="004151E4">
        <w:t>,</w:t>
      </w:r>
      <w:r w:rsidRPr="00030526">
        <w:t xml:space="preserve"> např.</w:t>
      </w:r>
      <w:r>
        <w:t xml:space="preserve"> o</w:t>
      </w:r>
      <w:r w:rsidRPr="00030526">
        <w:t>soby s duševním nebo duševně chronickým onemocněním</w:t>
      </w:r>
      <w:r>
        <w:t>, děti, mládež a rodin</w:t>
      </w:r>
      <w:r w:rsidR="004151E4">
        <w:t>y</w:t>
      </w:r>
      <w:r>
        <w:t>, osoby ohrožené sociálním vyloučením a osoby v krizi. Proces KPSS (komunitního plánování sociálních služeb</w:t>
      </w:r>
      <w:r w:rsidR="004151E4">
        <w:t>)</w:t>
      </w:r>
      <w:r>
        <w:t xml:space="preserve"> je dlouhodobý kontinuálně probíhající proces</w:t>
      </w:r>
      <w:r w:rsidR="004151E4">
        <w:t>,</w:t>
      </w:r>
      <w:r>
        <w:t xml:space="preserve"> na kterém by měli participovat všichni rozhodující aktéři a partneři v sociální oblasti. Žádoucí je také spolupráce s externími odborníky a subjekty, kteří mohou do procesu vnést zkušenosti a produktivní podněty z jiných obcí a krajů.</w:t>
      </w:r>
    </w:p>
    <w:p w:rsidR="00884916" w:rsidRDefault="00884916" w:rsidP="00884916">
      <w:pPr>
        <w:spacing w:before="0"/>
        <w:rPr>
          <w:rFonts w:cs="Arial"/>
        </w:rPr>
      </w:pPr>
      <w:r w:rsidRPr="006B5DCB">
        <w:rPr>
          <w:rFonts w:cs="Arial"/>
        </w:rPr>
        <w:t>V rámci projektu byly zpracovány</w:t>
      </w:r>
      <w:r>
        <w:rPr>
          <w:rFonts w:cs="Arial"/>
        </w:rPr>
        <w:t xml:space="preserve"> a</w:t>
      </w:r>
      <w:r w:rsidRPr="006B5DCB">
        <w:rPr>
          <w:rFonts w:cs="Arial"/>
        </w:rPr>
        <w:t xml:space="preserve">) </w:t>
      </w:r>
      <w:r w:rsidR="00114606">
        <w:rPr>
          <w:rFonts w:cs="Arial"/>
        </w:rPr>
        <w:t>Sociálně d</w:t>
      </w:r>
      <w:r w:rsidRPr="006B5DCB">
        <w:rPr>
          <w:rFonts w:cs="Arial"/>
        </w:rPr>
        <w:t>emografická analýza</w:t>
      </w:r>
      <w:r>
        <w:rPr>
          <w:rFonts w:cs="Arial"/>
        </w:rPr>
        <w:t>, b</w:t>
      </w:r>
      <w:r w:rsidRPr="006B5DCB">
        <w:rPr>
          <w:rFonts w:cs="Arial"/>
        </w:rPr>
        <w:t>) Analýza poskytovatelů sociálních služeb působících na území Města</w:t>
      </w:r>
      <w:r>
        <w:rPr>
          <w:rFonts w:cs="Arial"/>
        </w:rPr>
        <w:t>, c</w:t>
      </w:r>
      <w:r w:rsidRPr="006B5DCB">
        <w:rPr>
          <w:rFonts w:cs="Arial"/>
        </w:rPr>
        <w:t>) Analýza zřizovatele a</w:t>
      </w:r>
      <w:r w:rsidR="00114606">
        <w:rPr>
          <w:rFonts w:cs="Arial"/>
        </w:rPr>
        <w:t> </w:t>
      </w:r>
      <w:r w:rsidRPr="006B5DCB">
        <w:rPr>
          <w:rFonts w:cs="Arial"/>
        </w:rPr>
        <w:t>zadavatele sociálních služeb (město Velké meziříčí)</w:t>
      </w:r>
      <w:r w:rsidR="004151E4">
        <w:rPr>
          <w:rFonts w:cs="Arial"/>
        </w:rPr>
        <w:t xml:space="preserve"> a</w:t>
      </w:r>
      <w:r>
        <w:rPr>
          <w:rFonts w:cs="Arial"/>
        </w:rPr>
        <w:t xml:space="preserve"> d</w:t>
      </w:r>
      <w:r w:rsidRPr="006B5DCB">
        <w:rPr>
          <w:rFonts w:cs="Arial"/>
        </w:rPr>
        <w:t>) Analýza cílových skupin uživatelů (senioři a osoby se zdravotním postižením).</w:t>
      </w:r>
    </w:p>
    <w:p w:rsidR="00884916" w:rsidRPr="006B5DCB" w:rsidRDefault="00884916" w:rsidP="00884916">
      <w:pPr>
        <w:spacing w:before="0"/>
        <w:rPr>
          <w:rFonts w:cs="Arial"/>
        </w:rPr>
      </w:pPr>
    </w:p>
    <w:p w:rsidR="00884916" w:rsidRDefault="00114606" w:rsidP="00884916">
      <w:pPr>
        <w:spacing w:before="0"/>
      </w:pPr>
      <w:r>
        <w:rPr>
          <w:b/>
        </w:rPr>
        <w:t>a) S</w:t>
      </w:r>
      <w:r w:rsidR="00884916" w:rsidRPr="00CF6FA4">
        <w:rPr>
          <w:b/>
        </w:rPr>
        <w:t>ociálně demografická analýza</w:t>
      </w:r>
      <w:r w:rsidR="00884916">
        <w:t xml:space="preserve"> umožňuje odhadnout aktuální potřebu sociálních služeb a do jisté míry i předpovědět její budoucí vývoj. Při zpracování demografické analýzy byly zohledněny pouze ty aspekty sociálně demografického vývoje, které korespondují s cílovými skupinami uživatelů sociálních služeb</w:t>
      </w:r>
      <w:r w:rsidR="00884916">
        <w:rPr>
          <w:rStyle w:val="Znakapoznpodarou"/>
        </w:rPr>
        <w:footnoteReference w:id="12"/>
      </w:r>
      <w:r w:rsidR="00884916">
        <w:t xml:space="preserve">. </w:t>
      </w:r>
    </w:p>
    <w:p w:rsidR="00884916" w:rsidRDefault="00884916" w:rsidP="00884916">
      <w:pPr>
        <w:spacing w:before="0"/>
      </w:pPr>
      <w:r>
        <w:t>K 1. 7. 2012 žilo trvale ve Velkém Meziříčí 11 759 obyvatel, z toho 5 774 mužů a 5 985 žen. Stav obyvatel města Velké Meziří</w:t>
      </w:r>
      <w:r w:rsidRPr="00702B4A">
        <w:t>čí se v období let 2003</w:t>
      </w:r>
      <w:r w:rsidR="004151E4">
        <w:t>–</w:t>
      </w:r>
      <w:r w:rsidRPr="00702B4A">
        <w:t>2012 téměř nezměnil. V roce 2003 žilo ve Velkém Meziříčí celkem 11</w:t>
      </w:r>
      <w:r>
        <w:t xml:space="preserve"> </w:t>
      </w:r>
      <w:r w:rsidRPr="00702B4A">
        <w:t>773 obyvatel. V roce 2012</w:t>
      </w:r>
      <w:r w:rsidR="004151E4">
        <w:t> </w:t>
      </w:r>
      <w:r w:rsidRPr="00702B4A">
        <w:t>žilo ve městě 11</w:t>
      </w:r>
      <w:r>
        <w:t xml:space="preserve"> </w:t>
      </w:r>
      <w:r w:rsidRPr="00702B4A">
        <w:t>759 obyvatel. Zatímco p</w:t>
      </w:r>
      <w:r>
        <w:t xml:space="preserve">očet </w:t>
      </w:r>
      <w:r w:rsidRPr="00702B4A">
        <w:t>mužů v období let 2003</w:t>
      </w:r>
      <w:r w:rsidR="004151E4">
        <w:t>–</w:t>
      </w:r>
      <w:r w:rsidRPr="00702B4A">
        <w:t>2012</w:t>
      </w:r>
      <w:r w:rsidR="004151E4">
        <w:t xml:space="preserve"> </w:t>
      </w:r>
      <w:r w:rsidRPr="00702B4A">
        <w:t xml:space="preserve"> </w:t>
      </w:r>
      <w:r>
        <w:t>vzrostl</w:t>
      </w:r>
      <w:r w:rsidRPr="00702B4A">
        <w:t xml:space="preserve"> o</w:t>
      </w:r>
      <w:r>
        <w:t xml:space="preserve"> 30</w:t>
      </w:r>
      <w:r w:rsidRPr="00702B4A">
        <w:t>, tak počet</w:t>
      </w:r>
      <w:r>
        <w:t xml:space="preserve"> žen se ve stejném období snížil o 44</w:t>
      </w:r>
      <w:r w:rsidRPr="00702B4A">
        <w:t xml:space="preserve">. </w:t>
      </w:r>
    </w:p>
    <w:p w:rsidR="00884916" w:rsidRDefault="00884916" w:rsidP="00884916">
      <w:pPr>
        <w:pStyle w:val="Odstavecseseznamem"/>
        <w:spacing w:before="0"/>
        <w:ind w:left="0"/>
      </w:pPr>
      <w:r>
        <w:t>V období mezi le</w:t>
      </w:r>
      <w:r w:rsidRPr="00D63E6E">
        <w:t>ty 2003</w:t>
      </w:r>
      <w:r w:rsidR="004151E4">
        <w:t>–</w:t>
      </w:r>
      <w:r w:rsidRPr="00D63E6E">
        <w:t>2012 zásadn</w:t>
      </w:r>
      <w:r>
        <w:t>ějším</w:t>
      </w:r>
      <w:r w:rsidRPr="00D63E6E">
        <w:t xml:space="preserve"> způsobem </w:t>
      </w:r>
      <w:r>
        <w:t>poklesl</w:t>
      </w:r>
      <w:r w:rsidRPr="00D63E6E">
        <w:t xml:space="preserve"> ve městě Velké Meziříčí počet obyvatel ve věku 0</w:t>
      </w:r>
      <w:r w:rsidR="004151E4">
        <w:t>–</w:t>
      </w:r>
      <w:r w:rsidRPr="00D63E6E">
        <w:t xml:space="preserve">14 let. Zatímco v roce </w:t>
      </w:r>
      <w:r>
        <w:t>2003 byl počet obyvatel ve</w:t>
      </w:r>
      <w:r w:rsidR="004151E4">
        <w:t> </w:t>
      </w:r>
      <w:r>
        <w:t>věku 0</w:t>
      </w:r>
      <w:r w:rsidR="004151E4">
        <w:t>–</w:t>
      </w:r>
      <w:r>
        <w:t>14 let 2012, tak v roce 2013 se snížil na 1 722. Úbytek tak činí 290</w:t>
      </w:r>
      <w:r w:rsidR="004151E4">
        <w:t> </w:t>
      </w:r>
      <w:r>
        <w:t>obyvatel ve věku 0</w:t>
      </w:r>
      <w:r w:rsidR="004151E4">
        <w:t>–</w:t>
      </w:r>
      <w:r>
        <w:t xml:space="preserve">14 let. </w:t>
      </w:r>
    </w:p>
    <w:p w:rsidR="00884916" w:rsidRDefault="00884916" w:rsidP="00884916">
      <w:pPr>
        <w:pStyle w:val="Odstavecseseznamem"/>
        <w:spacing w:before="0"/>
        <w:ind w:left="0"/>
      </w:pPr>
      <w:r>
        <w:t>Naproti tomu počet obyvatel starších 65 let v letech 2003</w:t>
      </w:r>
      <w:r w:rsidR="004151E4">
        <w:t>–</w:t>
      </w:r>
      <w:r>
        <w:t xml:space="preserve">2012 zásadně vzrostl. Zatímco v roce 2003 žilo ve Velkém Meziříčí ve věku nad 65 let 1 479 obyvatel, v roce 2012 tento počet vzrostl až na 1 878 obyvatel. Přírůstek obyvatel nad 65 let mezi lety 2003-2012 tak činí 399 osob. </w:t>
      </w:r>
    </w:p>
    <w:p w:rsidR="00884916" w:rsidRDefault="00884916" w:rsidP="00884916">
      <w:pPr>
        <w:pStyle w:val="Odstavecseseznamem"/>
        <w:spacing w:before="0"/>
        <w:ind w:left="0"/>
      </w:pPr>
      <w:r>
        <w:t>Výše uvedené údaje korespondují s celkovým vývojem České populace, což je důsledek tzv. stárnutí populace. Je proto do budoucna nutné mít tento trend na</w:t>
      </w:r>
      <w:r w:rsidR="004151E4">
        <w:t> </w:t>
      </w:r>
      <w:r>
        <w:t xml:space="preserve">zřeteli při konstrukci a modifikaci sítě sociálních služeb na území města Velké Meziříčí, případně i v širším regionu – v rámci ORP. </w:t>
      </w:r>
    </w:p>
    <w:p w:rsidR="00884916" w:rsidRDefault="00884916" w:rsidP="00884916">
      <w:pPr>
        <w:spacing w:before="0"/>
      </w:pPr>
      <w:r>
        <w:t>Počet zemřelých obyvatel ve věku nad 65 let se zásadním způsobem v letech 2003</w:t>
      </w:r>
      <w:r w:rsidR="005632FE">
        <w:t> </w:t>
      </w:r>
      <w:r w:rsidR="005632FE">
        <w:noBreakHyphen/>
        <w:t> </w:t>
      </w:r>
      <w:r>
        <w:t>2012 nezměnil. Mírnou klesající tendenci můžeme zaznamenat v posledních 5</w:t>
      </w:r>
      <w:r w:rsidR="004151E4">
        <w:t> </w:t>
      </w:r>
      <w:r>
        <w:t>letech, tedy v období od roku 2008 do roku 2012. Úbytek zemřelých osob nad 65</w:t>
      </w:r>
      <w:r w:rsidR="004151E4">
        <w:t> </w:t>
      </w:r>
      <w:r>
        <w:t xml:space="preserve">let v tomto období činí celkem 30 osob. </w:t>
      </w:r>
    </w:p>
    <w:p w:rsidR="00884916" w:rsidRDefault="00884916" w:rsidP="00884916">
      <w:pPr>
        <w:spacing w:before="0"/>
      </w:pPr>
      <w:r>
        <w:t>Nejběžnějším údajem úmrtnosti je tzv. hrubá míra úmrtnosti, tedy počet zemřelých na</w:t>
      </w:r>
      <w:r w:rsidR="004151E4">
        <w:t> 1000</w:t>
      </w:r>
      <w:r>
        <w:t xml:space="preserve"> osob středního stavu obyvatelstva za kalendářní rok. Hrubá míra úmrtnosti obyvatel Velkého Meziříčí je zachycena v grafu č. 5, jenž demonstruje vývoj počtu zemřelých na 1000 ob</w:t>
      </w:r>
      <w:r w:rsidR="00056C3E">
        <w:t>yvatel. Za zkoumané období 2003–</w:t>
      </w:r>
      <w:r>
        <w:t xml:space="preserve">2012 zemřelo nejvíce osob v roce 2003, a to 11 osob na 1000 obyvatel, oproti tomu v roce 2012 klesla úmrtnost na nejnižší počet, zemřelo tedy 7,3 osob na 1000 obyvatel </w:t>
      </w:r>
      <w:r w:rsidR="00056C3E">
        <w:t xml:space="preserve">města </w:t>
      </w:r>
      <w:r>
        <w:t xml:space="preserve">Velké Meziříčí. </w:t>
      </w:r>
    </w:p>
    <w:p w:rsidR="00884916" w:rsidRDefault="00884916" w:rsidP="00884916">
      <w:pPr>
        <w:spacing w:before="0"/>
      </w:pPr>
      <w:r>
        <w:rPr>
          <w:sz w:val="20"/>
        </w:rPr>
        <w:t>N</w:t>
      </w:r>
      <w:r>
        <w:t xml:space="preserve">ejčastější příčinou úmrtí obyvatel </w:t>
      </w:r>
      <w:r w:rsidR="00056C3E">
        <w:t xml:space="preserve">města </w:t>
      </w:r>
      <w:r>
        <w:t>Velké Meziříčí jsou nemoci oběhové soustavy. Za období 2003</w:t>
      </w:r>
      <w:r w:rsidR="00056C3E">
        <w:t>–</w:t>
      </w:r>
      <w:r>
        <w:t xml:space="preserve">2012 zemřelo na tuto nemoc nejvíce osob v roce 2006, to znamená 81 obyvatel, zatímco v roce 2012 dosáhl počet zemřelých na nemoc oběhové soustavy svého minima a to 39 osob. Od roku 2009 má toto onemocnění jako příčina úmrtí obyvatel </w:t>
      </w:r>
      <w:r w:rsidR="00056C3E">
        <w:t xml:space="preserve">města </w:t>
      </w:r>
      <w:r>
        <w:t xml:space="preserve">Velké Meziříčí klesající tendenci. Úbytek v tomto období činí 30 osob. </w:t>
      </w:r>
    </w:p>
    <w:p w:rsidR="00884916" w:rsidRDefault="00884916" w:rsidP="00884916">
      <w:pPr>
        <w:spacing w:before="0"/>
      </w:pPr>
      <w:r>
        <w:t>Migrace je významný demografický prvek, který určuje změnu struktury populace. Ta</w:t>
      </w:r>
      <w:r w:rsidR="00056C3E">
        <w:t> </w:t>
      </w:r>
      <w:r>
        <w:t>se projevuje jednak v sociální oblasti, tak i v lokálním ekonomickém rozvoji či na</w:t>
      </w:r>
      <w:r w:rsidR="00056C3E">
        <w:t> </w:t>
      </w:r>
      <w:r>
        <w:t>trhu práce.</w:t>
      </w:r>
    </w:p>
    <w:p w:rsidR="00884916" w:rsidRDefault="00884916" w:rsidP="00884916">
      <w:pPr>
        <w:spacing w:before="0"/>
      </w:pPr>
      <w:r>
        <w:t>Vývoj počtu přistěhovalých osob na území Velkého Meziříčí v letech</w:t>
      </w:r>
      <w:r w:rsidR="00056C3E">
        <w:t xml:space="preserve"> 2003–</w:t>
      </w:r>
      <w:r>
        <w:t xml:space="preserve">2012 dosáhl maximální hodnoty v roce 2008, kdy se přistěhovalo 249 obyvatel. Nejméně obyvatel se přistěhovalo do </w:t>
      </w:r>
      <w:r w:rsidR="00056C3E">
        <w:t xml:space="preserve">města </w:t>
      </w:r>
      <w:r>
        <w:t>Velké Meziříčí v roce 2012, a to 128 obyvatel.</w:t>
      </w:r>
    </w:p>
    <w:p w:rsidR="00884916" w:rsidRDefault="00884916" w:rsidP="00884916">
      <w:pPr>
        <w:spacing w:before="0"/>
      </w:pPr>
      <w:r>
        <w:t>Počet vystěhovalých osob v letech 2003</w:t>
      </w:r>
      <w:r w:rsidR="00056C3E">
        <w:t>–</w:t>
      </w:r>
      <w:r>
        <w:t>2012</w:t>
      </w:r>
      <w:r w:rsidR="00056C3E">
        <w:t xml:space="preserve"> </w:t>
      </w:r>
      <w:r>
        <w:t>zásadně neklesal, ani nevzrůstal. Nevyššího počtu vystěhovalých osob dosáhlo město v roce 2011, tedy 211 obyvatel.  Nejméně obyvatel se z</w:t>
      </w:r>
      <w:r w:rsidR="00056C3E">
        <w:t xml:space="preserve"> města </w:t>
      </w:r>
      <w:r>
        <w:t>Velké Meziříčí vystěhovalo v roce 2005, to znamená 160 obyvatel. V letech 2003</w:t>
      </w:r>
      <w:r w:rsidR="00056C3E">
        <w:t>–</w:t>
      </w:r>
      <w:r>
        <w:t>2012</w:t>
      </w:r>
      <w:r w:rsidR="00056C3E">
        <w:t xml:space="preserve"> </w:t>
      </w:r>
      <w:r>
        <w:t>dosáhlo migrační saldo pozitivních hodnot pouze třikrát. V roce 2005 byla jeho hodnota 32, což znamená nejvyšší hodnotu ve</w:t>
      </w:r>
      <w:r w:rsidR="00056C3E">
        <w:t> </w:t>
      </w:r>
      <w:r>
        <w:t xml:space="preserve">zkoumaném období. V roce 2006 klesla na hodnotu 2 a v roce 2008 opět vystoupala na 31. V ostatních letech se pohybovalo v záporných hodnotách. Nejnižší hodnotu migračního salda zaznamenalo město Velké Meziříčí v roce 2011, kdy úbytek obyvatel v rámci migrace obyvatelstva činil 66 osob. </w:t>
      </w:r>
    </w:p>
    <w:p w:rsidR="00884916" w:rsidRDefault="00884916" w:rsidP="00884916">
      <w:pPr>
        <w:spacing w:before="0" w:after="200" w:line="276" w:lineRule="auto"/>
      </w:pPr>
    </w:p>
    <w:p w:rsidR="00884916" w:rsidRDefault="00114606" w:rsidP="00884916">
      <w:pPr>
        <w:spacing w:before="0"/>
      </w:pPr>
      <w:r>
        <w:rPr>
          <w:b/>
        </w:rPr>
        <w:t xml:space="preserve">b) </w:t>
      </w:r>
      <w:r w:rsidR="00884916" w:rsidRPr="00CF6FA4">
        <w:rPr>
          <w:b/>
        </w:rPr>
        <w:t>Analýza poskytovatelů sociálních služeb</w:t>
      </w:r>
      <w:r w:rsidR="00884916">
        <w:t xml:space="preserve"> byla realizována prostřednictvím záznamových archů, které byly sbírány korespondenční formou (elektronicky – forma e-mailu). Záznamový arch byl určen kompetentním osobám registrovaných poskytovatelů sociálních služeb. Důraz byl položen na identifikační údaje služby, rozsah poskytovaných služeb, zaměření na cílovou skupinu uživatelů, územní působnost služby, záměry rozvoje atd. </w:t>
      </w:r>
    </w:p>
    <w:p w:rsidR="00884916" w:rsidRDefault="00884916" w:rsidP="00884916">
      <w:pPr>
        <w:tabs>
          <w:tab w:val="num" w:pos="-5808"/>
          <w:tab w:val="num" w:pos="-5412"/>
        </w:tabs>
        <w:spacing w:before="0"/>
        <w:rPr>
          <w:bCs/>
          <w:i/>
          <w:iCs/>
          <w:sz w:val="20"/>
        </w:rPr>
      </w:pPr>
      <w:r w:rsidRPr="00C50D06">
        <w:rPr>
          <w:bCs/>
        </w:rPr>
        <w:t>Podle registru poskytovatelů sociálních služeb působí ve Velkém Meziříčí</w:t>
      </w:r>
      <w:r>
        <w:rPr>
          <w:bCs/>
        </w:rPr>
        <w:t xml:space="preserve"> </w:t>
      </w:r>
      <w:r>
        <w:rPr>
          <w:b/>
          <w:bCs/>
        </w:rPr>
        <w:t xml:space="preserve">devět registrovaných </w:t>
      </w:r>
      <w:r w:rsidRPr="00CF6FA4">
        <w:rPr>
          <w:b/>
          <w:bCs/>
        </w:rPr>
        <w:t xml:space="preserve">služeb sociální péče: </w:t>
      </w:r>
      <w:r w:rsidRPr="00E916F2">
        <w:rPr>
          <w:bCs/>
          <w:i/>
          <w:iCs/>
          <w:sz w:val="20"/>
        </w:rPr>
        <w:t>Sociální služby města Velké Meziříčí, Hospicové hnutí – Vysočina, o.s., Ústav sociální péče Křižanov, příspěvková organizace, Domov pro seniory Velké Meziříčí, p.o., Domácí hospicová péče Oblastní charita Žďár nad Sázavou, Nesa - denní stacionář, Osobní asistence Velké Meziříčí, Charitní ošetřovatelská služba Žďár nad Sázavou, Centrum Kociánka (Dětské středisko Březejc)</w:t>
      </w:r>
      <w:r w:rsidRPr="00E916F2">
        <w:rPr>
          <w:rStyle w:val="Znakapoznpodarou"/>
          <w:bCs/>
          <w:i/>
          <w:iCs/>
          <w:sz w:val="20"/>
        </w:rPr>
        <w:footnoteReference w:id="13"/>
      </w:r>
      <w:r>
        <w:rPr>
          <w:bCs/>
          <w:i/>
          <w:iCs/>
          <w:sz w:val="20"/>
        </w:rPr>
        <w:t xml:space="preserve">, </w:t>
      </w:r>
    </w:p>
    <w:p w:rsidR="00884916" w:rsidRDefault="00884916" w:rsidP="00884916">
      <w:pPr>
        <w:tabs>
          <w:tab w:val="num" w:pos="-5808"/>
          <w:tab w:val="num" w:pos="-5412"/>
        </w:tabs>
        <w:spacing w:before="0"/>
        <w:rPr>
          <w:bCs/>
          <w:i/>
          <w:iCs/>
          <w:sz w:val="20"/>
        </w:rPr>
      </w:pPr>
      <w:r w:rsidRPr="00CF6FA4">
        <w:rPr>
          <w:b/>
          <w:bCs/>
          <w:iCs/>
          <w:szCs w:val="24"/>
        </w:rPr>
        <w:t>dále pak deset</w:t>
      </w:r>
      <w:r>
        <w:rPr>
          <w:bCs/>
          <w:i/>
          <w:iCs/>
          <w:sz w:val="20"/>
        </w:rPr>
        <w:t xml:space="preserve"> </w:t>
      </w:r>
      <w:r>
        <w:rPr>
          <w:b/>
          <w:bCs/>
        </w:rPr>
        <w:t xml:space="preserve">registrovaných </w:t>
      </w:r>
      <w:r w:rsidRPr="00CF6FA4">
        <w:rPr>
          <w:b/>
          <w:bCs/>
        </w:rPr>
        <w:t>služeb sociální</w:t>
      </w:r>
      <w:r>
        <w:rPr>
          <w:b/>
          <w:bCs/>
        </w:rPr>
        <w:t xml:space="preserve"> prevence</w:t>
      </w:r>
      <w:r>
        <w:rPr>
          <w:sz w:val="20"/>
        </w:rPr>
        <w:t xml:space="preserve">: </w:t>
      </w:r>
      <w:r w:rsidRPr="00E916F2">
        <w:rPr>
          <w:bCs/>
          <w:i/>
          <w:iCs/>
          <w:sz w:val="20"/>
        </w:rPr>
        <w:t>Liga vozíčkářů, Středisko rané péče Třebíč, K – centrum Noe Třebíč, ZO Neslyšících a nedoslýchavých Velké Meziříčí, Wellmez – nízkoprahové zařízení pro děti a mládež, Centrum prevence Oblastní charity Žďár nad Sázavou, Kopretina - centrum pro rodiče s dětmi ve Velkém Meziříčí, Klub v 9 - centrum služeb pro podporu duševního zdraví, Sociálně aktivizační služby pro rodiny s dětmi Žďár nad Sázavou, Centrum Kociánka (Dětské středisko Březejc)</w:t>
      </w:r>
    </w:p>
    <w:p w:rsidR="00884916" w:rsidRPr="0020602C" w:rsidRDefault="00884916" w:rsidP="00884916">
      <w:pPr>
        <w:tabs>
          <w:tab w:val="num" w:pos="-5808"/>
          <w:tab w:val="num" w:pos="-5412"/>
          <w:tab w:val="num" w:pos="-336"/>
        </w:tabs>
        <w:spacing w:before="0"/>
        <w:rPr>
          <w:sz w:val="20"/>
        </w:rPr>
      </w:pPr>
      <w:r w:rsidRPr="00CF6FA4">
        <w:rPr>
          <w:b/>
          <w:bCs/>
          <w:iCs/>
          <w:szCs w:val="24"/>
        </w:rPr>
        <w:t>a jeden poskytovatel odborného sociálního poradenství</w:t>
      </w:r>
      <w:r>
        <w:rPr>
          <w:b/>
          <w:bCs/>
          <w:iCs/>
          <w:szCs w:val="24"/>
        </w:rPr>
        <w:t xml:space="preserve">: </w:t>
      </w:r>
      <w:r w:rsidRPr="00E916F2">
        <w:rPr>
          <w:bCs/>
          <w:i/>
          <w:iCs/>
          <w:sz w:val="20"/>
        </w:rPr>
        <w:t>Občanská poradna Žďár nad</w:t>
      </w:r>
      <w:r w:rsidR="00056C3E">
        <w:rPr>
          <w:bCs/>
          <w:i/>
          <w:iCs/>
          <w:sz w:val="20"/>
        </w:rPr>
        <w:t> </w:t>
      </w:r>
      <w:r w:rsidRPr="00E916F2">
        <w:rPr>
          <w:bCs/>
          <w:i/>
          <w:iCs/>
          <w:sz w:val="20"/>
        </w:rPr>
        <w:t>Sázavou</w:t>
      </w:r>
      <w:r>
        <w:rPr>
          <w:bCs/>
          <w:i/>
          <w:iCs/>
          <w:sz w:val="20"/>
        </w:rPr>
        <w:t>.</w:t>
      </w:r>
    </w:p>
    <w:p w:rsidR="00884916" w:rsidRPr="00C50D06" w:rsidRDefault="00884916" w:rsidP="00884916">
      <w:pPr>
        <w:spacing w:before="0"/>
      </w:pPr>
      <w:r>
        <w:rPr>
          <w:bCs/>
        </w:rPr>
        <w:t>Pobytovou formou poskytují sociální služby 3 poskytovatelé, ambulantní 3</w:t>
      </w:r>
      <w:r w:rsidR="00056C3E">
        <w:rPr>
          <w:bCs/>
        </w:rPr>
        <w:t> </w:t>
      </w:r>
      <w:r>
        <w:rPr>
          <w:bCs/>
        </w:rPr>
        <w:t>poskytovatelé, terénní 8 poskytovatelů a 5 poskytovatelů kombinací ambulantní a</w:t>
      </w:r>
      <w:r w:rsidR="00056C3E">
        <w:rPr>
          <w:bCs/>
        </w:rPr>
        <w:t> </w:t>
      </w:r>
      <w:r>
        <w:rPr>
          <w:bCs/>
        </w:rPr>
        <w:t>terénní sociální péče.</w:t>
      </w:r>
    </w:p>
    <w:p w:rsidR="00884916" w:rsidRDefault="00884916" w:rsidP="00884916">
      <w:pPr>
        <w:spacing w:before="0" w:after="200" w:line="276" w:lineRule="auto"/>
        <w:rPr>
          <w:b/>
          <w:color w:val="FF0000"/>
        </w:rPr>
      </w:pPr>
    </w:p>
    <w:p w:rsidR="00884916" w:rsidRPr="0020602C" w:rsidRDefault="00114606" w:rsidP="00884916">
      <w:pPr>
        <w:spacing w:before="0" w:line="276" w:lineRule="auto"/>
        <w:rPr>
          <w:b/>
          <w:color w:val="FF0000"/>
        </w:rPr>
      </w:pPr>
      <w:r>
        <w:rPr>
          <w:b/>
        </w:rPr>
        <w:t xml:space="preserve">c) </w:t>
      </w:r>
      <w:r w:rsidR="00884916" w:rsidRPr="0020602C">
        <w:rPr>
          <w:b/>
        </w:rPr>
        <w:t>Analýza zřizovatelů sociálních služeb</w:t>
      </w:r>
      <w:r w:rsidR="00884916">
        <w:t xml:space="preserve"> byla realizována ve spolupráci se zástupci Odboru sociálních věcí a zdravotnictví Městského úřadu ve Velkém Meziříčí. Důraz byl kladem zejména na finanční toky do sociální oblasti a jejich strukturu.</w:t>
      </w:r>
    </w:p>
    <w:p w:rsidR="00884916" w:rsidRDefault="00884916" w:rsidP="00884916">
      <w:pPr>
        <w:spacing w:before="0"/>
      </w:pPr>
      <w:r>
        <w:t xml:space="preserve">Celková roční částka, která byla směřována do sociální oblasti </w:t>
      </w:r>
      <w:r w:rsidR="00056C3E">
        <w:t>m</w:t>
      </w:r>
      <w:r>
        <w:t xml:space="preserve">ěstem </w:t>
      </w:r>
      <w:r w:rsidR="00056C3E">
        <w:t>V</w:t>
      </w:r>
      <w:r>
        <w:t>elké Meziříčí, činila za rok 2012 celkem 4 479 000Kč a v roce 2013 se jednalo o částku 6 315 000 Kč.</w:t>
      </w:r>
    </w:p>
    <w:p w:rsidR="00884916" w:rsidRDefault="00884916" w:rsidP="00884916">
      <w:pPr>
        <w:pStyle w:val="Odstavecseseznamem"/>
        <w:spacing w:before="0" w:line="276" w:lineRule="auto"/>
        <w:ind w:left="0"/>
      </w:pPr>
      <w:r>
        <w:t>Podíl celkových výdajů na sociální služby ve vztahu k celkovému rozpočtu města Velké Meziříčí byl v roce 2012 celkem 2,6 %, v roce 2013 tento podíl vzrostl na</w:t>
      </w:r>
      <w:r w:rsidR="00114606">
        <w:t> </w:t>
      </w:r>
      <w:r>
        <w:t>3,9</w:t>
      </w:r>
      <w:r w:rsidR="00114606">
        <w:t> </w:t>
      </w:r>
      <w:r>
        <w:t>%. Také přepočet výdajů města do sociální oblasti ve vztahu k celkovému počtu obyvatel mezi léty 2012 a 2013 vzrost. Zatímco v roce 2012 činila celková částka směrována do sociální oblasti v přepočtu na jednoho obyvatele 381 Kč za rok, tak v roce 2013 se jednalo o částku 537 Kč za rok.</w:t>
      </w:r>
    </w:p>
    <w:p w:rsidR="00884916" w:rsidRDefault="00884916" w:rsidP="00884916">
      <w:pPr>
        <w:pStyle w:val="Odstavecseseznamem"/>
        <w:spacing w:before="0" w:line="276" w:lineRule="auto"/>
        <w:ind w:left="0"/>
      </w:pPr>
    </w:p>
    <w:p w:rsidR="00884916" w:rsidRPr="0020602C" w:rsidRDefault="00114606" w:rsidP="00884916">
      <w:pPr>
        <w:pStyle w:val="Nadpis2"/>
        <w:numPr>
          <w:ilvl w:val="0"/>
          <w:numId w:val="0"/>
        </w:numPr>
        <w:jc w:val="both"/>
        <w:rPr>
          <w:color w:val="auto"/>
          <w:sz w:val="24"/>
          <w:szCs w:val="24"/>
        </w:rPr>
      </w:pPr>
      <w:r>
        <w:rPr>
          <w:color w:val="auto"/>
          <w:sz w:val="24"/>
          <w:szCs w:val="24"/>
        </w:rPr>
        <w:t xml:space="preserve">d) </w:t>
      </w:r>
      <w:r w:rsidR="00884916" w:rsidRPr="0020602C">
        <w:rPr>
          <w:color w:val="auto"/>
          <w:sz w:val="24"/>
          <w:szCs w:val="24"/>
        </w:rPr>
        <w:t>Analýza cílových skupin uživatelů sociálních služeb</w:t>
      </w:r>
      <w:r w:rsidR="00884916">
        <w:rPr>
          <w:color w:val="auto"/>
          <w:sz w:val="24"/>
          <w:szCs w:val="24"/>
        </w:rPr>
        <w:t xml:space="preserve"> </w:t>
      </w:r>
      <w:r w:rsidR="00884916" w:rsidRPr="0020602C">
        <w:rPr>
          <w:b w:val="0"/>
          <w:color w:val="auto"/>
          <w:sz w:val="24"/>
          <w:szCs w:val="24"/>
        </w:rPr>
        <w:t xml:space="preserve">probíhala prostřednictvím standardizovaného dotazníku mezi tazatelem a respondentem. Z cílových skupin byli oslovováni senioři a osoby se zdravotním postižením, příp. osoby, které pečují o rodinného příslušníka či jinou blízkou osobu využívající sociální služby pro seniory nebo osoby, které pečují o rodinného příslušníka či jinou blízkou osobu se zdravotním postižením. </w:t>
      </w:r>
      <w:r w:rsidR="00884916" w:rsidRPr="0020602C">
        <w:rPr>
          <w:rFonts w:cs="Arial"/>
          <w:b w:val="0"/>
          <w:color w:val="auto"/>
          <w:sz w:val="24"/>
          <w:szCs w:val="24"/>
        </w:rPr>
        <w:t>Dotazník pro seniory vyplnilo celkem 142 respondentů, pro</w:t>
      </w:r>
      <w:r>
        <w:rPr>
          <w:rFonts w:cs="Arial"/>
          <w:b w:val="0"/>
          <w:color w:val="auto"/>
          <w:sz w:val="24"/>
          <w:szCs w:val="24"/>
        </w:rPr>
        <w:t> </w:t>
      </w:r>
      <w:r w:rsidR="00884916" w:rsidRPr="0020602C">
        <w:rPr>
          <w:rFonts w:cs="Arial"/>
          <w:b w:val="0"/>
          <w:color w:val="auto"/>
          <w:sz w:val="24"/>
          <w:szCs w:val="24"/>
        </w:rPr>
        <w:t>osoby se zdravotním postižením celkem 137 respondentů.</w:t>
      </w:r>
    </w:p>
    <w:p w:rsidR="00884916" w:rsidRDefault="00884916" w:rsidP="00884916">
      <w:pPr>
        <w:pStyle w:val="Odstavecseseznamem"/>
        <w:spacing w:before="0" w:line="276" w:lineRule="auto"/>
        <w:ind w:left="0"/>
      </w:pPr>
    </w:p>
    <w:p w:rsidR="00884916" w:rsidRDefault="00884916" w:rsidP="00884916">
      <w:r>
        <w:t xml:space="preserve">Z výsledků analýz vyplývá, že respondenty byli z největší části (64,4 %) senioři, kteří jsou uživatelé některých sociálních služeb pro seniory, dále pak z více než čtvrtiny (27,0 %) senioři, kteří žádné sociální služby nevyužívají, u méně než dvacetiny dotázaných (4,3 %) se jednalo o osobu, která pečuje o rodinného příslušníka nebo jinou blízkou osobu, která využívá služby pro seniory a stejně početnou skupinu (4,3 %) tvořili osoby, které pečují o rodinného příslušníka nebo jinou blízkou osobu, ale nevyužívá žádné služby pro seniory. Respondenti nebo jejich rodinní příslušníci jsou převážně uživateli Sociálních služeb města Velké Meziříčí: Dům s pečovatelskou službou </w:t>
      </w:r>
      <w:r w:rsidR="00114606">
        <w:t>–</w:t>
      </w:r>
      <w:r>
        <w:t xml:space="preserve"> ulice</w:t>
      </w:r>
      <w:r w:rsidR="00114606">
        <w:t xml:space="preserve"> </w:t>
      </w:r>
      <w:r>
        <w:t xml:space="preserve">Zdeňky Vorlové (26,1 %). Dále pak sociálních služeb města Velké Meziříčí: Dům s pečovatelkou službou </w:t>
      </w:r>
      <w:r w:rsidR="00114606">
        <w:t>–</w:t>
      </w:r>
      <w:r>
        <w:t xml:space="preserve"> ulice</w:t>
      </w:r>
      <w:r w:rsidR="00114606">
        <w:t xml:space="preserve"> </w:t>
      </w:r>
      <w:r>
        <w:t>Strmá (19,7 %), Sociálních služeb města Velké Meziříčí: Pečovatelská služba (18,3 %), Charitní ošetřovatelské služby Žďár nad Sázavou (12,0 %), Domova pro seniory Velké Meziříčí, p. o. (12,0 %) a Osobní asistence Velké Meziříčí (6,3 %). V menší míře se jednalo o uživatele Domácí hospicové péče Oblastn</w:t>
      </w:r>
      <w:r w:rsidR="005632FE">
        <w:t>í charity Žďár nad Sázavou (2,8 </w:t>
      </w:r>
      <w:r>
        <w:t xml:space="preserve">%), Ústavu sociální péče Křižanov (2,1 %) a Občanské poradny Žďár nad Sázavou (0,7 %). </w:t>
      </w:r>
    </w:p>
    <w:p w:rsidR="00884916" w:rsidRDefault="00884916" w:rsidP="00884916">
      <w:r>
        <w:t xml:space="preserve">Současně respondenti měli možnost vyjádřit svou spokojenost s využívanou službou či službami. Míru spokojenosti mohli vyjádřit na ordinální škále od 1 – „služba je nejlepší“ do 5 – „služba je nejhorší“. V následující tabulce č. 28 jsou služby využívané respondenty seřazeny podle průměrné hodnoty spokojenosti. Čím více se hodnoty blíží číslu 1, tím více jsou respondenti se službou spokojeni. Všechny služby vykazují </w:t>
      </w:r>
      <w:r w:rsidRPr="00A409D3">
        <w:rPr>
          <w:b/>
        </w:rPr>
        <w:t>excelentní</w:t>
      </w:r>
      <w:r>
        <w:t xml:space="preserve"> hodnocení.</w:t>
      </w:r>
    </w:p>
    <w:p w:rsidR="00884916" w:rsidRDefault="00884916" w:rsidP="00884916">
      <w:r>
        <w:t>Respondenti se o službě, kterou využívají, dozvěděli</w:t>
      </w:r>
      <w:r w:rsidR="005632FE">
        <w:t xml:space="preserve"> nejčastěji zprostředkovaně tj. </w:t>
      </w:r>
      <w:r>
        <w:t>od</w:t>
      </w:r>
      <w:r w:rsidR="00114606">
        <w:t> </w:t>
      </w:r>
      <w:r>
        <w:t>přátel, spolupracovníků, známých apod. (29,2 %). Dále pak od lékaře (23,6 %), od</w:t>
      </w:r>
      <w:r w:rsidR="00114606">
        <w:t> </w:t>
      </w:r>
      <w:r>
        <w:t>rodiny (21,7 %), od pracovníka/pracovnice organizace, o které vědí, že podobné služby poskytuje (16,0 %), na Městském úřadě Odboru sociálních věcí (12,3 %) a</w:t>
      </w:r>
      <w:r w:rsidR="00114606">
        <w:t> </w:t>
      </w:r>
      <w:r>
        <w:t>stejně početná skupina (12,3 %) od člověka, který se s podobným problémem setkal. V menší míře se respondenti o službě dozvěděli z týdeníku Velkomeziříčsko (6,6 %) nebo službu našli na internetu (1,9 %).</w:t>
      </w:r>
    </w:p>
    <w:p w:rsidR="00884916" w:rsidRDefault="00884916" w:rsidP="00884916">
      <w:r>
        <w:t>V případě potřeby pomoci (z důvodu nemožnosti postarat se sám o sebe) by se respondenti nejčastěji obrátili na konkrétní sociální službu (45,9 %), téměř třetina (32,8 %) z nich by kontaktovala svoji blízkou rodinu a příbuzné a sedmina dotázaných by se obrátila na svého lékaře.</w:t>
      </w:r>
    </w:p>
    <w:p w:rsidR="00884916" w:rsidRDefault="00884916" w:rsidP="00884916">
      <w:r>
        <w:t>Podle názoru více než poloviny respondentů pociťují senioři jako největší problém ve</w:t>
      </w:r>
      <w:r w:rsidR="00114606">
        <w:t> </w:t>
      </w:r>
      <w:r>
        <w:t xml:space="preserve">svém životě osamělost (51,8 %) a nemožnost postarat se sám o sebe (50,4 %). Dále pak např. pochůzky po úřadech a návštěvy u lékaře (40,4 %). </w:t>
      </w:r>
    </w:p>
    <w:p w:rsidR="00884916" w:rsidRDefault="00884916" w:rsidP="00884916">
      <w:r>
        <w:t xml:space="preserve">Za největší problém však také </w:t>
      </w:r>
      <w:r w:rsidRPr="00C326EE">
        <w:rPr>
          <w:b/>
        </w:rPr>
        <w:t>téměř čtvrtina dotázaných (22 %)</w:t>
      </w:r>
      <w:r>
        <w:t xml:space="preserve"> uvedla </w:t>
      </w:r>
      <w:r w:rsidRPr="00C326EE">
        <w:rPr>
          <w:b/>
        </w:rPr>
        <w:t>absentující denní stacionář pro seniory</w:t>
      </w:r>
      <w:r>
        <w:t xml:space="preserve"> </w:t>
      </w:r>
      <w:r w:rsidRPr="00C326EE">
        <w:rPr>
          <w:b/>
        </w:rPr>
        <w:t>ve Velkém Meziříčí</w:t>
      </w:r>
      <w:r>
        <w:t>, dále pak běžné nákupy (21,3 %), nedostatek bezbariérových přístupů (18,4 %) a ztížená možnost získat místo v pobytovém zařízení (18,4 %).</w:t>
      </w:r>
    </w:p>
    <w:p w:rsidR="00884916" w:rsidRDefault="00884916" w:rsidP="00884916">
      <w:r>
        <w:t>Z výsledků analýz vyplývá, že více než čtyři respondenti z deseti (42,3 %) nevidí žádný problém s poskytováním informací. Více než tři dotázaní z deseti (32,4 %) se domnívají, že informace se často nedostanou k těm, kteří je potřebují, pro dva respondenty z deseti je největším problémem to, že informací je málo (19,7 %). Dále se dotázaní vyjádřili, že informace jsou nesrozumitelné – moc odborných výrazů (9,2 %), nepřehledné – nelze se v nich vyznat (8,5 %), nejsou aktuální (2,8 %), z některých oblastí zcela chybí (2,1 %) a roztříštěné – uvedeny na více místech (2,1 %).</w:t>
      </w:r>
    </w:p>
    <w:p w:rsidR="00884916" w:rsidRDefault="00884916" w:rsidP="00884916">
      <w:r>
        <w:t>Respondentům by nejvíce vyhovovalo získávat více informací o sociálních službách od lékařů (39,0 %). Více jak čtvrtina dotázaných (27,7 %) by uvítala více informací v týdeníku Velkomeziříčsko a téměř stejně početná skupina (27,0 %) označila situaci za dobrou bez potřeby něco měnit. Dále by respondentům vyhovovaly informační letáčky s nabídkou sociálních služeb přímo do schránek (22,7 %), katalog sociálních a dalších souvisejících služeb (20,6 %), získávat více informací přímo u</w:t>
      </w:r>
      <w:r w:rsidR="00114606">
        <w:t> </w:t>
      </w:r>
      <w:r>
        <w:t>poskytovatelů sociálních služeb (19,1 %) nebo by uvítali informační centrum speciálně zaměřené na sociální oblast (17,7 %).</w:t>
      </w:r>
    </w:p>
    <w:p w:rsidR="00884916" w:rsidRDefault="00884916" w:rsidP="00884916">
      <w:pPr>
        <w:pStyle w:val="Odstavecseseznamem"/>
        <w:spacing w:before="0" w:line="276" w:lineRule="auto"/>
        <w:ind w:left="0"/>
      </w:pPr>
    </w:p>
    <w:p w:rsidR="00884916" w:rsidRDefault="00884916" w:rsidP="00884916">
      <w:pPr>
        <w:rPr>
          <w:rFonts w:cs="Arial"/>
          <w:b/>
        </w:rPr>
      </w:pPr>
      <w:r>
        <w:t xml:space="preserve">Druhy pomoci, které by pomohly usnadnit život seniorům a jejich blízkému okolí, byly identifikovány </w:t>
      </w:r>
      <w:r>
        <w:rPr>
          <w:rFonts w:cs="Arial"/>
        </w:rPr>
        <w:t xml:space="preserve">prostřednictvím volné otázky (bez nabízených variant odpovědí). Odpovědi byly kategorizovány. Nejvíce by situaci pomohla usnadnit </w:t>
      </w:r>
      <w:r w:rsidRPr="00C326EE">
        <w:rPr>
          <w:rFonts w:cs="Arial"/>
          <w:b/>
        </w:rPr>
        <w:t>odlehčovací sociální služba a tísňová péče.</w:t>
      </w:r>
    </w:p>
    <w:p w:rsidR="00884916" w:rsidRDefault="00884916" w:rsidP="00884916">
      <w:r w:rsidRPr="00C326EE">
        <w:rPr>
          <w:b/>
        </w:rPr>
        <w:t xml:space="preserve">Podle názoru více třetiny respondentů (35,3 %) chybí ve </w:t>
      </w:r>
      <w:r w:rsidR="00114606">
        <w:rPr>
          <w:b/>
        </w:rPr>
        <w:t xml:space="preserve">městě </w:t>
      </w:r>
      <w:r w:rsidRPr="00C326EE">
        <w:rPr>
          <w:b/>
        </w:rPr>
        <w:t>Velké Meziříčí denní stacionář,</w:t>
      </w:r>
      <w:r>
        <w:t xml:space="preserve"> který by zajistil péči o seniora v rámci pracovní doby rodinného příslušníka. Dále pak podle více než čtvrtiny dotázaných </w:t>
      </w:r>
      <w:r w:rsidRPr="00C326EE">
        <w:rPr>
          <w:b/>
        </w:rPr>
        <w:t>chybí pobytová odlehčovací služba,</w:t>
      </w:r>
      <w:r>
        <w:t xml:space="preserve"> která by pomohla při péči o blízkou osobu na přechodnou dobu s cílem poskytnout pečující osobě odpočinek (28,7 %), doprava na zavolání či objednání – „Senior taxi“ (27,2 %) a krátkodobá přechodná péče např. v případě úrazu (25,7 %). Více než desetině respondentů (11,8 %) chybí ve </w:t>
      </w:r>
      <w:r w:rsidR="00114606">
        <w:t xml:space="preserve">městě </w:t>
      </w:r>
      <w:r>
        <w:t>Velké Meziříčí tísňová péče – okamžitá pomoc na zavolání telefonem nebo stisknutím tísňového tlačítka.</w:t>
      </w:r>
    </w:p>
    <w:p w:rsidR="00884916" w:rsidRDefault="00884916" w:rsidP="00884916"/>
    <w:p w:rsidR="00884916" w:rsidRDefault="00884916" w:rsidP="00884916">
      <w:r w:rsidRPr="00DE7055">
        <w:rPr>
          <w:b/>
        </w:rPr>
        <w:t>U cílové skupiny osob se zdravotním postižením</w:t>
      </w:r>
      <w:r>
        <w:t xml:space="preserve"> byly identifikovány obdobné poznatky jako u cílové skupiny seniorů. V řadě případů se respondenti překrývají (jednalo se o zdravotně postiženého seniora/seniorku). Potřeby cílové skupiny zdravotně postižených se však v dílčích případech liší.</w:t>
      </w:r>
    </w:p>
    <w:p w:rsidR="00884916" w:rsidRDefault="00884916" w:rsidP="00884916">
      <w:pPr>
        <w:rPr>
          <w:rFonts w:cs="Arial"/>
        </w:rPr>
      </w:pPr>
      <w:r>
        <w:t xml:space="preserve">Více než třetina zdravotně postižených respondentů (35,4 %) uvádí jako </w:t>
      </w:r>
      <w:r w:rsidRPr="00C326EE">
        <w:rPr>
          <w:b/>
        </w:rPr>
        <w:t>největší problém</w:t>
      </w:r>
      <w:r>
        <w:t xml:space="preserve"> ve svém životě </w:t>
      </w:r>
      <w:r w:rsidRPr="00C326EE">
        <w:rPr>
          <w:b/>
        </w:rPr>
        <w:t>samostatný pohyb po městě</w:t>
      </w:r>
      <w:r>
        <w:t xml:space="preserve"> – </w:t>
      </w:r>
      <w:r w:rsidRPr="005B7D3E">
        <w:rPr>
          <w:b/>
        </w:rPr>
        <w:t>bariéry</w:t>
      </w:r>
      <w:r>
        <w:t xml:space="preserve"> (např. chybí bezbariérové přechody, nastupování do MHD apod.). Dále pak omezení kontaktu s okolím, osamělost (28,6 %), nemožnost postarat se sám o sebe – závislost na jiné osobě (27,9 %), omezené možnosti zaměstnání (25,2 %). Čtvrtina respondentů se domnívá, že pro zdravotně postižené je problémem potřeba samostatně si vyřídit osobní záležitosti na úřadech (tlumočení do znakové řeči, asistence či doprovod, v bankách nehlásí číslo klienta a přepážky apod.) (21,1 %), nedostatek bezbariérových přístupů (19,7 %) a návštěvy u lékaře (19,7 %). Dále pak možnosti trávení volného času (15,0 %), navazování vztahů (13,6 %), nezodpovědné chování okolí např. parkování na místech vyhrazených pro osoby se zdravotním postižením (12,9 %) také nedostatek parkovacích míst pro osoby se zdravotním postižením (12,9 %).  Necelá desetina respondentů (9,5 %) zastává názor, že problémem je nedostatečná nabídka míst pro setkávání a kulturní vyžití (restaurace, koncertní sály apod.), malá nabídka vzdělávání pro osoby s handicapem a běžné nákupy.</w:t>
      </w:r>
    </w:p>
    <w:p w:rsidR="00884916" w:rsidRDefault="00884916" w:rsidP="00884916">
      <w:r>
        <w:t xml:space="preserve">Podle názoru téměř tří zdravotně postižených respondentů z deseti (28,3 %) chybí ve </w:t>
      </w:r>
      <w:r w:rsidR="00114606">
        <w:t xml:space="preserve">městě </w:t>
      </w:r>
      <w:r>
        <w:t xml:space="preserve">Velké Meziříčí </w:t>
      </w:r>
      <w:r w:rsidRPr="003E42CF">
        <w:rPr>
          <w:b/>
        </w:rPr>
        <w:t>chráněné bydlení pro osoby se zdravotním postižením</w:t>
      </w:r>
      <w:r>
        <w:t xml:space="preserve">, které nejsou zcela soběstačné. Téměř stejně početná skupina (27,6 %) se domnívá, že </w:t>
      </w:r>
      <w:r w:rsidRPr="003E42CF">
        <w:rPr>
          <w:b/>
        </w:rPr>
        <w:t xml:space="preserve">schází respitní péče </w:t>
      </w:r>
      <w:r>
        <w:t>tj.</w:t>
      </w:r>
      <w:r w:rsidRPr="00FC43F9">
        <w:t xml:space="preserve"> pomoc při péči o blízkou osobu na přechodnou dobu s cílem poskytnout pečující osobě odpočinek,</w:t>
      </w:r>
      <w:r w:rsidRPr="003E42CF">
        <w:rPr>
          <w:b/>
        </w:rPr>
        <w:t xml:space="preserve"> </w:t>
      </w:r>
      <w:r w:rsidRPr="003E42CF">
        <w:t>pětina dotázaných</w:t>
      </w:r>
      <w:r w:rsidRPr="003E42CF">
        <w:rPr>
          <w:b/>
        </w:rPr>
        <w:t xml:space="preserve"> </w:t>
      </w:r>
      <w:r>
        <w:t>(20,0 %) uvedla podporované bydlení tj. bydlení, které svými vlastnostmi a službami v něm poskytovanými pomáhá bydlet lidem se zvláštními potřebami. Dále byla zmíněna krátkodobá péče při nesoběstačnosti (17,9 %), zvýhodněná doprava na zavolání či objednání – „Handicap taxi“ (15,2 %), denní stacionář – zařízení pro krátkodobé pobyty se zajištěnou péčí (13,8 %) a tísňová péče – okamžitá pomoc na zavolání telefonem nebo stisknutím tísňového tlačítka (8,3 %).</w:t>
      </w:r>
    </w:p>
    <w:p w:rsidR="00884916" w:rsidRDefault="00884916" w:rsidP="00884916"/>
    <w:p w:rsidR="00114606" w:rsidRDefault="00114606" w:rsidP="00884916"/>
    <w:p w:rsidR="00884916" w:rsidRPr="00FC43F9" w:rsidRDefault="00884916" w:rsidP="00884916">
      <w:pPr>
        <w:rPr>
          <w:b/>
        </w:rPr>
      </w:pPr>
      <w:r w:rsidRPr="00FC43F9">
        <w:rPr>
          <w:b/>
        </w:rPr>
        <w:t>RÁMCOVÁ DOPORUČENÍ</w:t>
      </w:r>
    </w:p>
    <w:p w:rsidR="00884916" w:rsidRDefault="00884916" w:rsidP="00884916">
      <w:r>
        <w:t>V návaznosti na výše uvedené vyplývá, že prioritou v oblasti sociálních služeb by mělo být do budoucna u cílové skupiny</w:t>
      </w:r>
    </w:p>
    <w:p w:rsidR="00884916" w:rsidRPr="00FC43F9" w:rsidRDefault="00884916" w:rsidP="00884916">
      <w:pPr>
        <w:rPr>
          <w:b/>
          <w:u w:val="single"/>
        </w:rPr>
      </w:pPr>
      <w:r w:rsidRPr="00FC43F9">
        <w:rPr>
          <w:b/>
          <w:u w:val="single"/>
        </w:rPr>
        <w:t>senioři:</w:t>
      </w:r>
    </w:p>
    <w:p w:rsidR="00884916" w:rsidRPr="00DE7055" w:rsidRDefault="00884916" w:rsidP="00884916">
      <w:pPr>
        <w:pStyle w:val="Odstavecseseznamem"/>
        <w:numPr>
          <w:ilvl w:val="0"/>
          <w:numId w:val="33"/>
        </w:numPr>
      </w:pPr>
      <w:r>
        <w:rPr>
          <w:b/>
        </w:rPr>
        <w:t xml:space="preserve">zřízení </w:t>
      </w:r>
      <w:r w:rsidRPr="00C326EE">
        <w:rPr>
          <w:b/>
        </w:rPr>
        <w:t>denní</w:t>
      </w:r>
      <w:r>
        <w:rPr>
          <w:b/>
        </w:rPr>
        <w:t>ho</w:t>
      </w:r>
      <w:r w:rsidRPr="00C326EE">
        <w:rPr>
          <w:b/>
        </w:rPr>
        <w:t xml:space="preserve"> stacionář</w:t>
      </w:r>
      <w:r>
        <w:rPr>
          <w:b/>
        </w:rPr>
        <w:t xml:space="preserve">e, </w:t>
      </w:r>
    </w:p>
    <w:p w:rsidR="00884916" w:rsidRPr="00DE7055" w:rsidRDefault="00114606" w:rsidP="00884916">
      <w:pPr>
        <w:pStyle w:val="Odstavecseseznamem"/>
        <w:numPr>
          <w:ilvl w:val="0"/>
          <w:numId w:val="33"/>
        </w:numPr>
      </w:pPr>
      <w:r>
        <w:rPr>
          <w:rFonts w:cs="Arial"/>
          <w:b/>
        </w:rPr>
        <w:t>z</w:t>
      </w:r>
      <w:r w:rsidR="00884916">
        <w:rPr>
          <w:rFonts w:cs="Arial"/>
          <w:b/>
        </w:rPr>
        <w:t xml:space="preserve">řízení </w:t>
      </w:r>
      <w:r w:rsidR="00884916" w:rsidRPr="00DE7055">
        <w:rPr>
          <w:rFonts w:cs="Arial"/>
          <w:b/>
        </w:rPr>
        <w:t>odlehčovací sociální služb</w:t>
      </w:r>
      <w:r w:rsidR="00884916">
        <w:rPr>
          <w:rFonts w:cs="Arial"/>
          <w:b/>
        </w:rPr>
        <w:t>y</w:t>
      </w:r>
      <w:r w:rsidR="00884916" w:rsidRPr="00DE7055">
        <w:rPr>
          <w:rFonts w:cs="Arial"/>
          <w:b/>
        </w:rPr>
        <w:t xml:space="preserve"> </w:t>
      </w:r>
      <w:r>
        <w:rPr>
          <w:rFonts w:cs="Arial"/>
          <w:b/>
        </w:rPr>
        <w:t>–</w:t>
      </w:r>
      <w:r w:rsidR="00884916" w:rsidRPr="00DE7055">
        <w:rPr>
          <w:rFonts w:cs="Arial"/>
          <w:b/>
        </w:rPr>
        <w:t xml:space="preserve"> </w:t>
      </w:r>
      <w:r w:rsidR="00884916">
        <w:rPr>
          <w:rFonts w:cs="Arial"/>
          <w:b/>
        </w:rPr>
        <w:t>respitní</w:t>
      </w:r>
      <w:r>
        <w:rPr>
          <w:rFonts w:cs="Arial"/>
          <w:b/>
        </w:rPr>
        <w:t xml:space="preserve"> </w:t>
      </w:r>
      <w:r w:rsidR="00884916" w:rsidRPr="00DE7055">
        <w:rPr>
          <w:rFonts w:cs="Arial"/>
          <w:b/>
        </w:rPr>
        <w:t>péče</w:t>
      </w:r>
      <w:r w:rsidR="00884916">
        <w:rPr>
          <w:rFonts w:cs="Arial"/>
          <w:b/>
        </w:rPr>
        <w:t xml:space="preserve"> </w:t>
      </w:r>
      <w:r w:rsidR="00884916" w:rsidRPr="00DE7055">
        <w:rPr>
          <w:rFonts w:cs="Arial"/>
        </w:rPr>
        <w:t>tj.</w:t>
      </w:r>
      <w:r w:rsidR="00884916">
        <w:rPr>
          <w:rFonts w:cs="Arial"/>
          <w:b/>
        </w:rPr>
        <w:t xml:space="preserve"> </w:t>
      </w:r>
      <w:r w:rsidR="00884916" w:rsidRPr="00DE7055">
        <w:t>pomoc při péči o</w:t>
      </w:r>
      <w:r>
        <w:t> </w:t>
      </w:r>
      <w:r w:rsidR="00884916" w:rsidRPr="00DE7055">
        <w:t>blízkou osobu na přechodnou dobu s cílem poskytnout pečující osobě odpočinek</w:t>
      </w:r>
      <w:r w:rsidR="00EA0E8C">
        <w:t>,</w:t>
      </w:r>
    </w:p>
    <w:p w:rsidR="00EA0E8C" w:rsidRDefault="00EA0E8C" w:rsidP="00114606">
      <w:pPr>
        <w:rPr>
          <w:rFonts w:cs="Arial"/>
        </w:rPr>
      </w:pPr>
    </w:p>
    <w:p w:rsidR="00884916" w:rsidRDefault="00114606" w:rsidP="00114606">
      <w:pPr>
        <w:rPr>
          <w:b/>
          <w:u w:val="single"/>
        </w:rPr>
      </w:pPr>
      <w:r>
        <w:rPr>
          <w:rFonts w:cs="Arial"/>
        </w:rPr>
        <w:t>u</w:t>
      </w:r>
      <w:r w:rsidR="00884916">
        <w:t xml:space="preserve"> cílové skupiny</w:t>
      </w:r>
      <w:r w:rsidR="00EA0E8C">
        <w:t xml:space="preserve"> </w:t>
      </w:r>
      <w:r w:rsidR="00884916" w:rsidRPr="00DE7055">
        <w:rPr>
          <w:b/>
          <w:u w:val="single"/>
        </w:rPr>
        <w:t>zdravotně postižení:</w:t>
      </w:r>
    </w:p>
    <w:p w:rsidR="00884916" w:rsidRDefault="00884916" w:rsidP="00884916">
      <w:pPr>
        <w:pStyle w:val="Odstavecseseznamem"/>
        <w:numPr>
          <w:ilvl w:val="0"/>
          <w:numId w:val="33"/>
        </w:numPr>
      </w:pPr>
      <w:r>
        <w:t xml:space="preserve">postupné </w:t>
      </w:r>
      <w:r w:rsidRPr="00DE7055">
        <w:rPr>
          <w:b/>
        </w:rPr>
        <w:t>řešení problematiky bariér</w:t>
      </w:r>
      <w:r>
        <w:t xml:space="preserve"> ve městě (dlouhodobý záměr),</w:t>
      </w:r>
    </w:p>
    <w:p w:rsidR="00884916" w:rsidRPr="00DE7055" w:rsidRDefault="00884916" w:rsidP="00884916">
      <w:pPr>
        <w:pStyle w:val="Odstavecseseznamem"/>
        <w:numPr>
          <w:ilvl w:val="0"/>
          <w:numId w:val="33"/>
        </w:numPr>
      </w:pPr>
      <w:r w:rsidRPr="003E42CF">
        <w:rPr>
          <w:b/>
        </w:rPr>
        <w:t xml:space="preserve">chráněné bydlení </w:t>
      </w:r>
      <w:r w:rsidRPr="00DE7055">
        <w:t>pro osoby se zdravotním postižením,</w:t>
      </w:r>
    </w:p>
    <w:p w:rsidR="00884916" w:rsidRPr="00DE7055" w:rsidRDefault="00884916" w:rsidP="00884916">
      <w:pPr>
        <w:pStyle w:val="Odstavecseseznamem"/>
        <w:numPr>
          <w:ilvl w:val="0"/>
          <w:numId w:val="33"/>
        </w:numPr>
      </w:pPr>
      <w:r w:rsidRPr="003E42CF">
        <w:rPr>
          <w:b/>
        </w:rPr>
        <w:t xml:space="preserve">respitní péče </w:t>
      </w:r>
      <w:r w:rsidRPr="00DE7055">
        <w:t>– pomoc při péči o blízkou osobu na přechodnou dobu s cílem poskytnout pečující osobě odpočinek</w:t>
      </w:r>
      <w:r w:rsidR="00114606">
        <w:t>.</w:t>
      </w:r>
    </w:p>
    <w:p w:rsidR="00884916" w:rsidRPr="00DE7055" w:rsidRDefault="00884916" w:rsidP="00884916">
      <w:pPr>
        <w:rPr>
          <w:rFonts w:cs="Arial"/>
          <w:b/>
        </w:rPr>
      </w:pPr>
    </w:p>
    <w:p w:rsidR="00884916" w:rsidRPr="007F58EA" w:rsidRDefault="00884916" w:rsidP="00EA0E8C">
      <w:pPr>
        <w:rPr>
          <w:rFonts w:cs="Arial"/>
        </w:rPr>
      </w:pPr>
      <w:r w:rsidRPr="007F58EA">
        <w:rPr>
          <w:rFonts w:cs="Arial"/>
        </w:rPr>
        <w:t xml:space="preserve">Společnost AUGUR Consulting věří, že zprostředkované výsledky, analýzy a data se stanou pro </w:t>
      </w:r>
      <w:r w:rsidR="00EA0E8C">
        <w:rPr>
          <w:rFonts w:cs="Arial"/>
        </w:rPr>
        <w:t>m</w:t>
      </w:r>
      <w:r w:rsidRPr="007F58EA">
        <w:rPr>
          <w:rFonts w:cs="Arial"/>
        </w:rPr>
        <w:t>ěsto Velké Meziříčí relevantní oporou v procesu Komunitního plánování sociálních služeb a podkladem pro Střednědobý plán rozvoje sociálních služeb na</w:t>
      </w:r>
      <w:r w:rsidR="00EA0E8C">
        <w:rPr>
          <w:rFonts w:cs="Arial"/>
        </w:rPr>
        <w:t> </w:t>
      </w:r>
      <w:r w:rsidRPr="007F58EA">
        <w:rPr>
          <w:rFonts w:cs="Arial"/>
        </w:rPr>
        <w:t>území města.</w:t>
      </w:r>
    </w:p>
    <w:p w:rsidR="0072544D" w:rsidRDefault="0072544D">
      <w:pPr>
        <w:spacing w:before="0" w:after="200" w:line="276" w:lineRule="auto"/>
        <w:jc w:val="left"/>
        <w:rPr>
          <w:rFonts w:eastAsiaTheme="majorEastAsia" w:cstheme="majorBidi"/>
          <w:b/>
          <w:bCs/>
          <w:color w:val="FF0000"/>
          <w:sz w:val="28"/>
          <w:szCs w:val="28"/>
        </w:rPr>
      </w:pPr>
      <w:r>
        <w:br w:type="page"/>
      </w:r>
    </w:p>
    <w:p w:rsidR="00426EFF" w:rsidRDefault="00426EFF" w:rsidP="00426EFF">
      <w:pPr>
        <w:pStyle w:val="Nadpis1"/>
      </w:pPr>
      <w:r>
        <w:t>PŘÍLOHY</w:t>
      </w:r>
      <w:bookmarkEnd w:id="115"/>
    </w:p>
    <w:p w:rsidR="00426EFF" w:rsidRDefault="00426EFF" w:rsidP="00426EFF">
      <w:pPr>
        <w:pStyle w:val="Nadpis2"/>
      </w:pPr>
      <w:bookmarkStart w:id="116" w:name="_Toc367278177"/>
      <w:r>
        <w:t>Seznam grafů</w:t>
      </w:r>
      <w:bookmarkEnd w:id="116"/>
    </w:p>
    <w:p w:rsidR="0072544D" w:rsidRPr="00352DD0" w:rsidRDefault="0072544D" w:rsidP="00352DD0">
      <w:pPr>
        <w:pStyle w:val="Seznamobrzk"/>
        <w:tabs>
          <w:tab w:val="right" w:leader="dot" w:pos="9062"/>
        </w:tabs>
        <w:rPr>
          <w:noProof/>
          <w:sz w:val="20"/>
        </w:rPr>
      </w:pPr>
      <w:r w:rsidRPr="00352DD0">
        <w:rPr>
          <w:sz w:val="20"/>
        </w:rPr>
        <w:fldChar w:fldCharType="begin"/>
      </w:r>
      <w:r w:rsidRPr="00352DD0">
        <w:rPr>
          <w:sz w:val="20"/>
        </w:rPr>
        <w:instrText xml:space="preserve"> TOC \c "Graf č." </w:instrText>
      </w:r>
      <w:r w:rsidRPr="00352DD0">
        <w:rPr>
          <w:sz w:val="20"/>
        </w:rPr>
        <w:fldChar w:fldCharType="separate"/>
      </w:r>
      <w:r w:rsidRPr="00352DD0">
        <w:rPr>
          <w:noProof/>
          <w:sz w:val="20"/>
        </w:rPr>
        <w:t>Graf č. 1: Vývoj počtu obyvatel Velkého Meziříčí v letech 2003–2012.</w:t>
      </w:r>
      <w:r w:rsidRPr="00352DD0">
        <w:rPr>
          <w:noProof/>
          <w:sz w:val="20"/>
        </w:rPr>
        <w:tab/>
      </w:r>
      <w:r w:rsidRPr="00352DD0">
        <w:rPr>
          <w:noProof/>
          <w:sz w:val="20"/>
        </w:rPr>
        <w:fldChar w:fldCharType="begin"/>
      </w:r>
      <w:r w:rsidRPr="00352DD0">
        <w:rPr>
          <w:noProof/>
          <w:sz w:val="20"/>
        </w:rPr>
        <w:instrText xml:space="preserve"> PAGEREF _Toc367357503 \h </w:instrText>
      </w:r>
      <w:r w:rsidRPr="00352DD0">
        <w:rPr>
          <w:noProof/>
          <w:sz w:val="20"/>
        </w:rPr>
      </w:r>
      <w:r w:rsidRPr="00352DD0">
        <w:rPr>
          <w:noProof/>
          <w:sz w:val="20"/>
        </w:rPr>
        <w:fldChar w:fldCharType="separate"/>
      </w:r>
      <w:r w:rsidRPr="00352DD0">
        <w:rPr>
          <w:noProof/>
          <w:sz w:val="20"/>
        </w:rPr>
        <w:t>6</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2: Vývoj stavu obyvatel Velkého Meziříčí ve věku 0-14 let v letech 2003-2012.</w:t>
      </w:r>
      <w:r w:rsidRPr="00352DD0">
        <w:rPr>
          <w:noProof/>
          <w:sz w:val="20"/>
        </w:rPr>
        <w:tab/>
      </w:r>
      <w:r w:rsidRPr="00352DD0">
        <w:rPr>
          <w:noProof/>
          <w:sz w:val="20"/>
        </w:rPr>
        <w:fldChar w:fldCharType="begin"/>
      </w:r>
      <w:r w:rsidRPr="00352DD0">
        <w:rPr>
          <w:noProof/>
          <w:sz w:val="20"/>
        </w:rPr>
        <w:instrText xml:space="preserve"> PAGEREF _Toc367357504 \h </w:instrText>
      </w:r>
      <w:r w:rsidRPr="00352DD0">
        <w:rPr>
          <w:noProof/>
          <w:sz w:val="20"/>
        </w:rPr>
      </w:r>
      <w:r w:rsidRPr="00352DD0">
        <w:rPr>
          <w:noProof/>
          <w:sz w:val="20"/>
        </w:rPr>
        <w:fldChar w:fldCharType="separate"/>
      </w:r>
      <w:r w:rsidRPr="00352DD0">
        <w:rPr>
          <w:noProof/>
          <w:sz w:val="20"/>
        </w:rPr>
        <w:t>6</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3: Vývoj stavu obyvatel Velkého Meziříčí ve věku nad 65 let v letech 2003 – 2012.</w:t>
      </w:r>
      <w:r w:rsidRPr="00352DD0">
        <w:rPr>
          <w:noProof/>
          <w:sz w:val="20"/>
        </w:rPr>
        <w:tab/>
      </w:r>
      <w:r w:rsidRPr="00352DD0">
        <w:rPr>
          <w:noProof/>
          <w:sz w:val="20"/>
        </w:rPr>
        <w:fldChar w:fldCharType="begin"/>
      </w:r>
      <w:r w:rsidRPr="00352DD0">
        <w:rPr>
          <w:noProof/>
          <w:sz w:val="20"/>
        </w:rPr>
        <w:instrText xml:space="preserve"> PAGEREF _Toc367357505 \h </w:instrText>
      </w:r>
      <w:r w:rsidRPr="00352DD0">
        <w:rPr>
          <w:noProof/>
          <w:sz w:val="20"/>
        </w:rPr>
      </w:r>
      <w:r w:rsidRPr="00352DD0">
        <w:rPr>
          <w:noProof/>
          <w:sz w:val="20"/>
        </w:rPr>
        <w:fldChar w:fldCharType="separate"/>
      </w:r>
      <w:r w:rsidRPr="00352DD0">
        <w:rPr>
          <w:noProof/>
          <w:sz w:val="20"/>
        </w:rPr>
        <w:t>7</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4: Vývoj počtu zemřelých obyvatel Velkého Meziříčí ve věku nad 65 let v letech 2003–2012.</w:t>
      </w:r>
      <w:r w:rsidRPr="00352DD0">
        <w:rPr>
          <w:noProof/>
          <w:sz w:val="20"/>
        </w:rPr>
        <w:tab/>
      </w:r>
      <w:r w:rsidRPr="00352DD0">
        <w:rPr>
          <w:noProof/>
          <w:sz w:val="20"/>
        </w:rPr>
        <w:fldChar w:fldCharType="begin"/>
      </w:r>
      <w:r w:rsidRPr="00352DD0">
        <w:rPr>
          <w:noProof/>
          <w:sz w:val="20"/>
        </w:rPr>
        <w:instrText xml:space="preserve"> PAGEREF _Toc367357506 \h </w:instrText>
      </w:r>
      <w:r w:rsidRPr="00352DD0">
        <w:rPr>
          <w:noProof/>
          <w:sz w:val="20"/>
        </w:rPr>
      </w:r>
      <w:r w:rsidRPr="00352DD0">
        <w:rPr>
          <w:noProof/>
          <w:sz w:val="20"/>
        </w:rPr>
        <w:fldChar w:fldCharType="separate"/>
      </w:r>
      <w:r w:rsidRPr="00352DD0">
        <w:rPr>
          <w:noProof/>
          <w:sz w:val="20"/>
        </w:rPr>
        <w:t>7</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5: Vývoj počtu zemřelých na 1000 obyvatel Velkého Meziříčí v letech 2003–2012.</w:t>
      </w:r>
      <w:r w:rsidRPr="00352DD0">
        <w:rPr>
          <w:noProof/>
          <w:sz w:val="20"/>
        </w:rPr>
        <w:tab/>
      </w:r>
      <w:r w:rsidRPr="00352DD0">
        <w:rPr>
          <w:noProof/>
          <w:sz w:val="20"/>
        </w:rPr>
        <w:fldChar w:fldCharType="begin"/>
      </w:r>
      <w:r w:rsidRPr="00352DD0">
        <w:rPr>
          <w:noProof/>
          <w:sz w:val="20"/>
        </w:rPr>
        <w:instrText xml:space="preserve"> PAGEREF _Toc367357507 \h </w:instrText>
      </w:r>
      <w:r w:rsidRPr="00352DD0">
        <w:rPr>
          <w:noProof/>
          <w:sz w:val="20"/>
        </w:rPr>
      </w:r>
      <w:r w:rsidRPr="00352DD0">
        <w:rPr>
          <w:noProof/>
          <w:sz w:val="20"/>
        </w:rPr>
        <w:fldChar w:fldCharType="separate"/>
      </w:r>
      <w:r w:rsidRPr="00352DD0">
        <w:rPr>
          <w:noProof/>
          <w:sz w:val="20"/>
        </w:rPr>
        <w:t>8</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6: Vývoj počtu zemřelých obyvatel na nemoci oběhové soustavy ve městě Velké Meziříčí v letech 2003–2012.</w:t>
      </w:r>
      <w:r w:rsidRPr="00352DD0">
        <w:rPr>
          <w:noProof/>
          <w:sz w:val="20"/>
        </w:rPr>
        <w:tab/>
      </w:r>
      <w:r w:rsidRPr="00352DD0">
        <w:rPr>
          <w:noProof/>
          <w:sz w:val="20"/>
        </w:rPr>
        <w:fldChar w:fldCharType="begin"/>
      </w:r>
      <w:r w:rsidRPr="00352DD0">
        <w:rPr>
          <w:noProof/>
          <w:sz w:val="20"/>
        </w:rPr>
        <w:instrText xml:space="preserve"> PAGEREF _Toc367357508 \h </w:instrText>
      </w:r>
      <w:r w:rsidRPr="00352DD0">
        <w:rPr>
          <w:noProof/>
          <w:sz w:val="20"/>
        </w:rPr>
      </w:r>
      <w:r w:rsidRPr="00352DD0">
        <w:rPr>
          <w:noProof/>
          <w:sz w:val="20"/>
        </w:rPr>
        <w:fldChar w:fldCharType="separate"/>
      </w:r>
      <w:r w:rsidRPr="00352DD0">
        <w:rPr>
          <w:noProof/>
          <w:sz w:val="20"/>
        </w:rPr>
        <w:t>8</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7: Vývoj počtu přistěhovalých osob na území Velkého Meziříčí v letech 2003-2012.</w:t>
      </w:r>
      <w:r w:rsidRPr="00352DD0">
        <w:rPr>
          <w:noProof/>
          <w:sz w:val="20"/>
        </w:rPr>
        <w:tab/>
      </w:r>
      <w:r w:rsidRPr="00352DD0">
        <w:rPr>
          <w:noProof/>
          <w:sz w:val="20"/>
        </w:rPr>
        <w:fldChar w:fldCharType="begin"/>
      </w:r>
      <w:r w:rsidRPr="00352DD0">
        <w:rPr>
          <w:noProof/>
          <w:sz w:val="20"/>
        </w:rPr>
        <w:instrText xml:space="preserve"> PAGEREF _Toc367357509 \h </w:instrText>
      </w:r>
      <w:r w:rsidRPr="00352DD0">
        <w:rPr>
          <w:noProof/>
          <w:sz w:val="20"/>
        </w:rPr>
      </w:r>
      <w:r w:rsidRPr="00352DD0">
        <w:rPr>
          <w:noProof/>
          <w:sz w:val="20"/>
        </w:rPr>
        <w:fldChar w:fldCharType="separate"/>
      </w:r>
      <w:r w:rsidRPr="00352DD0">
        <w:rPr>
          <w:noProof/>
          <w:sz w:val="20"/>
        </w:rPr>
        <w:t>9</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8: Vývoj počtu přistěhovalých osob na 1000 obyvatel Velkého Meziříčí v letech 2003-2012.</w:t>
      </w:r>
      <w:r w:rsidRPr="00352DD0">
        <w:rPr>
          <w:noProof/>
          <w:sz w:val="20"/>
        </w:rPr>
        <w:tab/>
      </w:r>
      <w:r w:rsidRPr="00352DD0">
        <w:rPr>
          <w:noProof/>
          <w:sz w:val="20"/>
        </w:rPr>
        <w:fldChar w:fldCharType="begin"/>
      </w:r>
      <w:r w:rsidRPr="00352DD0">
        <w:rPr>
          <w:noProof/>
          <w:sz w:val="20"/>
        </w:rPr>
        <w:instrText xml:space="preserve"> PAGEREF _Toc367357510 \h </w:instrText>
      </w:r>
      <w:r w:rsidRPr="00352DD0">
        <w:rPr>
          <w:noProof/>
          <w:sz w:val="20"/>
        </w:rPr>
      </w:r>
      <w:r w:rsidRPr="00352DD0">
        <w:rPr>
          <w:noProof/>
          <w:sz w:val="20"/>
        </w:rPr>
        <w:fldChar w:fldCharType="separate"/>
      </w:r>
      <w:r w:rsidRPr="00352DD0">
        <w:rPr>
          <w:noProof/>
          <w:sz w:val="20"/>
        </w:rPr>
        <w:t>9</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9: Vývoj počtu vystěhovalých osob z území Velkého Meziříčí v letech 2003-2012.</w:t>
      </w:r>
      <w:r w:rsidRPr="00352DD0">
        <w:rPr>
          <w:noProof/>
          <w:sz w:val="20"/>
        </w:rPr>
        <w:tab/>
      </w:r>
      <w:r w:rsidRPr="00352DD0">
        <w:rPr>
          <w:noProof/>
          <w:sz w:val="20"/>
        </w:rPr>
        <w:fldChar w:fldCharType="begin"/>
      </w:r>
      <w:r w:rsidRPr="00352DD0">
        <w:rPr>
          <w:noProof/>
          <w:sz w:val="20"/>
        </w:rPr>
        <w:instrText xml:space="preserve"> PAGEREF _Toc367357511 \h </w:instrText>
      </w:r>
      <w:r w:rsidRPr="00352DD0">
        <w:rPr>
          <w:noProof/>
          <w:sz w:val="20"/>
        </w:rPr>
      </w:r>
      <w:r w:rsidRPr="00352DD0">
        <w:rPr>
          <w:noProof/>
          <w:sz w:val="20"/>
        </w:rPr>
        <w:fldChar w:fldCharType="separate"/>
      </w:r>
      <w:r w:rsidRPr="00352DD0">
        <w:rPr>
          <w:noProof/>
          <w:sz w:val="20"/>
        </w:rPr>
        <w:t>10</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10: Vývoj počtu vystěhovalých osob na 1000 obyvatel Velkého Meziříčí v letech 2003-2012.</w:t>
      </w:r>
      <w:r w:rsidRPr="00352DD0">
        <w:rPr>
          <w:noProof/>
          <w:sz w:val="20"/>
        </w:rPr>
        <w:tab/>
      </w:r>
      <w:r w:rsidRPr="00352DD0">
        <w:rPr>
          <w:noProof/>
          <w:sz w:val="20"/>
        </w:rPr>
        <w:fldChar w:fldCharType="begin"/>
      </w:r>
      <w:r w:rsidRPr="00352DD0">
        <w:rPr>
          <w:noProof/>
          <w:sz w:val="20"/>
        </w:rPr>
        <w:instrText xml:space="preserve"> PAGEREF _Toc367357512 \h </w:instrText>
      </w:r>
      <w:r w:rsidRPr="00352DD0">
        <w:rPr>
          <w:noProof/>
          <w:sz w:val="20"/>
        </w:rPr>
      </w:r>
      <w:r w:rsidRPr="00352DD0">
        <w:rPr>
          <w:noProof/>
          <w:sz w:val="20"/>
        </w:rPr>
        <w:fldChar w:fldCharType="separate"/>
      </w:r>
      <w:r w:rsidRPr="00352DD0">
        <w:rPr>
          <w:noProof/>
          <w:sz w:val="20"/>
        </w:rPr>
        <w:t>10</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11: Vývoj migračního salda ve Velkém Meziříčí v letech 2003-2012.</w:t>
      </w:r>
      <w:r w:rsidRPr="00352DD0">
        <w:rPr>
          <w:noProof/>
          <w:sz w:val="20"/>
        </w:rPr>
        <w:tab/>
      </w:r>
      <w:r w:rsidRPr="00352DD0">
        <w:rPr>
          <w:noProof/>
          <w:sz w:val="20"/>
        </w:rPr>
        <w:fldChar w:fldCharType="begin"/>
      </w:r>
      <w:r w:rsidRPr="00352DD0">
        <w:rPr>
          <w:noProof/>
          <w:sz w:val="20"/>
        </w:rPr>
        <w:instrText xml:space="preserve"> PAGEREF _Toc367357513 \h </w:instrText>
      </w:r>
      <w:r w:rsidRPr="00352DD0">
        <w:rPr>
          <w:noProof/>
          <w:sz w:val="20"/>
        </w:rPr>
      </w:r>
      <w:r w:rsidRPr="00352DD0">
        <w:rPr>
          <w:noProof/>
          <w:sz w:val="20"/>
        </w:rPr>
        <w:fldChar w:fldCharType="separate"/>
      </w:r>
      <w:r w:rsidRPr="00352DD0">
        <w:rPr>
          <w:noProof/>
          <w:sz w:val="20"/>
        </w:rPr>
        <w:t>11</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12: Vývoj počtu sňatků a počtu rozvodů ve Velkém Meziříčí v letech 2003-2012.</w:t>
      </w:r>
      <w:r w:rsidRPr="00352DD0">
        <w:rPr>
          <w:noProof/>
          <w:sz w:val="20"/>
        </w:rPr>
        <w:tab/>
      </w:r>
      <w:r w:rsidRPr="00352DD0">
        <w:rPr>
          <w:noProof/>
          <w:sz w:val="20"/>
        </w:rPr>
        <w:fldChar w:fldCharType="begin"/>
      </w:r>
      <w:r w:rsidRPr="00352DD0">
        <w:rPr>
          <w:noProof/>
          <w:sz w:val="20"/>
        </w:rPr>
        <w:instrText xml:space="preserve"> PAGEREF _Toc367357514 \h </w:instrText>
      </w:r>
      <w:r w:rsidRPr="00352DD0">
        <w:rPr>
          <w:noProof/>
          <w:sz w:val="20"/>
        </w:rPr>
      </w:r>
      <w:r w:rsidRPr="00352DD0">
        <w:rPr>
          <w:noProof/>
          <w:sz w:val="20"/>
        </w:rPr>
        <w:fldChar w:fldCharType="separate"/>
      </w:r>
      <w:r w:rsidRPr="00352DD0">
        <w:rPr>
          <w:noProof/>
          <w:sz w:val="20"/>
        </w:rPr>
        <w:t>13</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13: Vývoj počtu rozvodů přepočtených na 100 sňatků ve Velkém Meziříčí v letech 2003-2012.</w:t>
      </w:r>
      <w:r w:rsidRPr="00352DD0">
        <w:rPr>
          <w:noProof/>
          <w:sz w:val="20"/>
        </w:rPr>
        <w:tab/>
      </w:r>
      <w:r w:rsidRPr="00352DD0">
        <w:rPr>
          <w:noProof/>
          <w:sz w:val="20"/>
        </w:rPr>
        <w:fldChar w:fldCharType="begin"/>
      </w:r>
      <w:r w:rsidRPr="00352DD0">
        <w:rPr>
          <w:noProof/>
          <w:sz w:val="20"/>
        </w:rPr>
        <w:instrText xml:space="preserve"> PAGEREF _Toc367357515 \h </w:instrText>
      </w:r>
      <w:r w:rsidRPr="00352DD0">
        <w:rPr>
          <w:noProof/>
          <w:sz w:val="20"/>
        </w:rPr>
      </w:r>
      <w:r w:rsidRPr="00352DD0">
        <w:rPr>
          <w:noProof/>
          <w:sz w:val="20"/>
        </w:rPr>
        <w:fldChar w:fldCharType="separate"/>
      </w:r>
      <w:r w:rsidRPr="00352DD0">
        <w:rPr>
          <w:noProof/>
          <w:sz w:val="20"/>
        </w:rPr>
        <w:t>13</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14: Podíl částky na sociální služby na celkový rozpočet města.</w:t>
      </w:r>
      <w:r w:rsidRPr="00352DD0">
        <w:rPr>
          <w:noProof/>
          <w:sz w:val="20"/>
        </w:rPr>
        <w:tab/>
      </w:r>
      <w:r w:rsidRPr="00352DD0">
        <w:rPr>
          <w:noProof/>
          <w:sz w:val="20"/>
        </w:rPr>
        <w:fldChar w:fldCharType="begin"/>
      </w:r>
      <w:r w:rsidRPr="00352DD0">
        <w:rPr>
          <w:noProof/>
          <w:sz w:val="20"/>
        </w:rPr>
        <w:instrText xml:space="preserve"> PAGEREF _Toc367357516 \h </w:instrText>
      </w:r>
      <w:r w:rsidRPr="00352DD0">
        <w:rPr>
          <w:noProof/>
          <w:sz w:val="20"/>
        </w:rPr>
      </w:r>
      <w:r w:rsidRPr="00352DD0">
        <w:rPr>
          <w:noProof/>
          <w:sz w:val="20"/>
        </w:rPr>
        <w:fldChar w:fldCharType="separate"/>
      </w:r>
      <w:r w:rsidRPr="00352DD0">
        <w:rPr>
          <w:noProof/>
          <w:sz w:val="20"/>
        </w:rPr>
        <w:t>37</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15: Částka určená na sociální služby v přepočtu na jednoho obyvatele.</w:t>
      </w:r>
      <w:r w:rsidRPr="00352DD0">
        <w:rPr>
          <w:noProof/>
          <w:sz w:val="20"/>
        </w:rPr>
        <w:tab/>
      </w:r>
      <w:r w:rsidRPr="00352DD0">
        <w:rPr>
          <w:noProof/>
          <w:sz w:val="20"/>
        </w:rPr>
        <w:fldChar w:fldCharType="begin"/>
      </w:r>
      <w:r w:rsidRPr="00352DD0">
        <w:rPr>
          <w:noProof/>
          <w:sz w:val="20"/>
        </w:rPr>
        <w:instrText xml:space="preserve"> PAGEREF _Toc367357517 \h </w:instrText>
      </w:r>
      <w:r w:rsidRPr="00352DD0">
        <w:rPr>
          <w:noProof/>
          <w:sz w:val="20"/>
        </w:rPr>
      </w:r>
      <w:r w:rsidRPr="00352DD0">
        <w:rPr>
          <w:noProof/>
          <w:sz w:val="20"/>
        </w:rPr>
        <w:fldChar w:fldCharType="separate"/>
      </w:r>
      <w:r w:rsidRPr="00352DD0">
        <w:rPr>
          <w:noProof/>
          <w:sz w:val="20"/>
        </w:rPr>
        <w:t>37</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16: Vztah k problematice sociálních služeb pro seniory.</w:t>
      </w:r>
      <w:r w:rsidRPr="00352DD0">
        <w:rPr>
          <w:noProof/>
          <w:sz w:val="20"/>
        </w:rPr>
        <w:tab/>
      </w:r>
      <w:r w:rsidRPr="00352DD0">
        <w:rPr>
          <w:noProof/>
          <w:sz w:val="20"/>
        </w:rPr>
        <w:fldChar w:fldCharType="begin"/>
      </w:r>
      <w:r w:rsidRPr="00352DD0">
        <w:rPr>
          <w:noProof/>
          <w:sz w:val="20"/>
        </w:rPr>
        <w:instrText xml:space="preserve"> PAGEREF _Toc367357518 \h </w:instrText>
      </w:r>
      <w:r w:rsidRPr="00352DD0">
        <w:rPr>
          <w:noProof/>
          <w:sz w:val="20"/>
        </w:rPr>
      </w:r>
      <w:r w:rsidRPr="00352DD0">
        <w:rPr>
          <w:noProof/>
          <w:sz w:val="20"/>
        </w:rPr>
        <w:fldChar w:fldCharType="separate"/>
      </w:r>
      <w:r w:rsidRPr="00352DD0">
        <w:rPr>
          <w:noProof/>
          <w:sz w:val="20"/>
        </w:rPr>
        <w:t>39</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17: Služby využívané respondentem nebo jeho rodinným příslušníkem.</w:t>
      </w:r>
      <w:r w:rsidRPr="00352DD0">
        <w:rPr>
          <w:noProof/>
          <w:sz w:val="20"/>
        </w:rPr>
        <w:tab/>
      </w:r>
      <w:r w:rsidRPr="00352DD0">
        <w:rPr>
          <w:noProof/>
          <w:sz w:val="20"/>
        </w:rPr>
        <w:fldChar w:fldCharType="begin"/>
      </w:r>
      <w:r w:rsidRPr="00352DD0">
        <w:rPr>
          <w:noProof/>
          <w:sz w:val="20"/>
        </w:rPr>
        <w:instrText xml:space="preserve"> PAGEREF _Toc367357519 \h </w:instrText>
      </w:r>
      <w:r w:rsidRPr="00352DD0">
        <w:rPr>
          <w:noProof/>
          <w:sz w:val="20"/>
        </w:rPr>
      </w:r>
      <w:r w:rsidRPr="00352DD0">
        <w:rPr>
          <w:noProof/>
          <w:sz w:val="20"/>
        </w:rPr>
        <w:fldChar w:fldCharType="separate"/>
      </w:r>
      <w:r w:rsidRPr="00352DD0">
        <w:rPr>
          <w:noProof/>
          <w:sz w:val="20"/>
        </w:rPr>
        <w:t>40</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18: Získání povědomí o službě.</w:t>
      </w:r>
      <w:r w:rsidRPr="00352DD0">
        <w:rPr>
          <w:noProof/>
          <w:sz w:val="20"/>
        </w:rPr>
        <w:tab/>
      </w:r>
      <w:r w:rsidRPr="00352DD0">
        <w:rPr>
          <w:noProof/>
          <w:sz w:val="20"/>
        </w:rPr>
        <w:fldChar w:fldCharType="begin"/>
      </w:r>
      <w:r w:rsidRPr="00352DD0">
        <w:rPr>
          <w:noProof/>
          <w:sz w:val="20"/>
        </w:rPr>
        <w:instrText xml:space="preserve"> PAGEREF _Toc367357520 \h </w:instrText>
      </w:r>
      <w:r w:rsidRPr="00352DD0">
        <w:rPr>
          <w:noProof/>
          <w:sz w:val="20"/>
        </w:rPr>
      </w:r>
      <w:r w:rsidRPr="00352DD0">
        <w:rPr>
          <w:noProof/>
          <w:sz w:val="20"/>
        </w:rPr>
        <w:fldChar w:fldCharType="separate"/>
      </w:r>
      <w:r w:rsidRPr="00352DD0">
        <w:rPr>
          <w:noProof/>
          <w:sz w:val="20"/>
        </w:rPr>
        <w:t>42</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19: Největší problém v životě seniorů.</w:t>
      </w:r>
      <w:r w:rsidRPr="00352DD0">
        <w:rPr>
          <w:noProof/>
          <w:sz w:val="20"/>
        </w:rPr>
        <w:tab/>
      </w:r>
      <w:r w:rsidRPr="00352DD0">
        <w:rPr>
          <w:noProof/>
          <w:sz w:val="20"/>
        </w:rPr>
        <w:fldChar w:fldCharType="begin"/>
      </w:r>
      <w:r w:rsidRPr="00352DD0">
        <w:rPr>
          <w:noProof/>
          <w:sz w:val="20"/>
        </w:rPr>
        <w:instrText xml:space="preserve"> PAGEREF _Toc367357521 \h </w:instrText>
      </w:r>
      <w:r w:rsidRPr="00352DD0">
        <w:rPr>
          <w:noProof/>
          <w:sz w:val="20"/>
        </w:rPr>
      </w:r>
      <w:r w:rsidRPr="00352DD0">
        <w:rPr>
          <w:noProof/>
          <w:sz w:val="20"/>
        </w:rPr>
        <w:fldChar w:fldCharType="separate"/>
      </w:r>
      <w:r w:rsidRPr="00352DD0">
        <w:rPr>
          <w:noProof/>
          <w:sz w:val="20"/>
        </w:rPr>
        <w:t>43</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20: Problémy s poskytováním informací o sociálních službách.</w:t>
      </w:r>
      <w:r w:rsidRPr="00352DD0">
        <w:rPr>
          <w:noProof/>
          <w:sz w:val="20"/>
        </w:rPr>
        <w:tab/>
      </w:r>
      <w:r w:rsidRPr="00352DD0">
        <w:rPr>
          <w:noProof/>
          <w:sz w:val="20"/>
        </w:rPr>
        <w:fldChar w:fldCharType="begin"/>
      </w:r>
      <w:r w:rsidRPr="00352DD0">
        <w:rPr>
          <w:noProof/>
          <w:sz w:val="20"/>
        </w:rPr>
        <w:instrText xml:space="preserve"> PAGEREF _Toc367357522 \h </w:instrText>
      </w:r>
      <w:r w:rsidRPr="00352DD0">
        <w:rPr>
          <w:noProof/>
          <w:sz w:val="20"/>
        </w:rPr>
      </w:r>
      <w:r w:rsidRPr="00352DD0">
        <w:rPr>
          <w:noProof/>
          <w:sz w:val="20"/>
        </w:rPr>
        <w:fldChar w:fldCharType="separate"/>
      </w:r>
      <w:r w:rsidRPr="00352DD0">
        <w:rPr>
          <w:noProof/>
          <w:sz w:val="20"/>
        </w:rPr>
        <w:t>44</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21: Vyhovující způsob poskytování informací o sociálních službách.</w:t>
      </w:r>
      <w:r w:rsidRPr="00352DD0">
        <w:rPr>
          <w:noProof/>
          <w:sz w:val="20"/>
        </w:rPr>
        <w:tab/>
      </w:r>
      <w:r w:rsidRPr="00352DD0">
        <w:rPr>
          <w:noProof/>
          <w:sz w:val="20"/>
        </w:rPr>
        <w:fldChar w:fldCharType="begin"/>
      </w:r>
      <w:r w:rsidRPr="00352DD0">
        <w:rPr>
          <w:noProof/>
          <w:sz w:val="20"/>
        </w:rPr>
        <w:instrText xml:space="preserve"> PAGEREF _Toc367357523 \h </w:instrText>
      </w:r>
      <w:r w:rsidRPr="00352DD0">
        <w:rPr>
          <w:noProof/>
          <w:sz w:val="20"/>
        </w:rPr>
      </w:r>
      <w:r w:rsidRPr="00352DD0">
        <w:rPr>
          <w:noProof/>
          <w:sz w:val="20"/>
        </w:rPr>
        <w:fldChar w:fldCharType="separate"/>
      </w:r>
      <w:r w:rsidRPr="00352DD0">
        <w:rPr>
          <w:noProof/>
          <w:sz w:val="20"/>
        </w:rPr>
        <w:t>45</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22: Chybějící služby a pomoc pro seniory a jejich rodiny ve Velkém Meziříčí.</w:t>
      </w:r>
      <w:r w:rsidRPr="00352DD0">
        <w:rPr>
          <w:noProof/>
          <w:sz w:val="20"/>
        </w:rPr>
        <w:tab/>
      </w:r>
      <w:r w:rsidRPr="00352DD0">
        <w:rPr>
          <w:noProof/>
          <w:sz w:val="20"/>
        </w:rPr>
        <w:fldChar w:fldCharType="begin"/>
      </w:r>
      <w:r w:rsidRPr="00352DD0">
        <w:rPr>
          <w:noProof/>
          <w:sz w:val="20"/>
        </w:rPr>
        <w:instrText xml:space="preserve"> PAGEREF _Toc367357524 \h </w:instrText>
      </w:r>
      <w:r w:rsidRPr="00352DD0">
        <w:rPr>
          <w:noProof/>
          <w:sz w:val="20"/>
        </w:rPr>
      </w:r>
      <w:r w:rsidRPr="00352DD0">
        <w:rPr>
          <w:noProof/>
          <w:sz w:val="20"/>
        </w:rPr>
        <w:fldChar w:fldCharType="separate"/>
      </w:r>
      <w:r w:rsidRPr="00352DD0">
        <w:rPr>
          <w:noProof/>
          <w:sz w:val="20"/>
        </w:rPr>
        <w:t>47</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23: Vztah k problematice života osob se zdravotním postižením.</w:t>
      </w:r>
      <w:r w:rsidRPr="00352DD0">
        <w:rPr>
          <w:noProof/>
          <w:sz w:val="20"/>
        </w:rPr>
        <w:tab/>
      </w:r>
      <w:r w:rsidRPr="00352DD0">
        <w:rPr>
          <w:noProof/>
          <w:sz w:val="20"/>
        </w:rPr>
        <w:fldChar w:fldCharType="begin"/>
      </w:r>
      <w:r w:rsidRPr="00352DD0">
        <w:rPr>
          <w:noProof/>
          <w:sz w:val="20"/>
        </w:rPr>
        <w:instrText xml:space="preserve"> PAGEREF _Toc367357525 \h </w:instrText>
      </w:r>
      <w:r w:rsidRPr="00352DD0">
        <w:rPr>
          <w:noProof/>
          <w:sz w:val="20"/>
        </w:rPr>
      </w:r>
      <w:r w:rsidRPr="00352DD0">
        <w:rPr>
          <w:noProof/>
          <w:sz w:val="20"/>
        </w:rPr>
        <w:fldChar w:fldCharType="separate"/>
      </w:r>
      <w:r w:rsidRPr="00352DD0">
        <w:rPr>
          <w:noProof/>
          <w:sz w:val="20"/>
        </w:rPr>
        <w:t>49</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24: Služby využívané respondentem nebo jeho rodinným příslušníkem.</w:t>
      </w:r>
      <w:r w:rsidRPr="00352DD0">
        <w:rPr>
          <w:noProof/>
          <w:sz w:val="20"/>
        </w:rPr>
        <w:tab/>
      </w:r>
      <w:r w:rsidRPr="00352DD0">
        <w:rPr>
          <w:noProof/>
          <w:sz w:val="20"/>
        </w:rPr>
        <w:fldChar w:fldCharType="begin"/>
      </w:r>
      <w:r w:rsidRPr="00352DD0">
        <w:rPr>
          <w:noProof/>
          <w:sz w:val="20"/>
        </w:rPr>
        <w:instrText xml:space="preserve"> PAGEREF _Toc367357526 \h </w:instrText>
      </w:r>
      <w:r w:rsidRPr="00352DD0">
        <w:rPr>
          <w:noProof/>
          <w:sz w:val="20"/>
        </w:rPr>
      </w:r>
      <w:r w:rsidRPr="00352DD0">
        <w:rPr>
          <w:noProof/>
          <w:sz w:val="20"/>
        </w:rPr>
        <w:fldChar w:fldCharType="separate"/>
      </w:r>
      <w:r w:rsidRPr="00352DD0">
        <w:rPr>
          <w:noProof/>
          <w:sz w:val="20"/>
        </w:rPr>
        <w:t>49</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25: Získání povědomí o službě.</w:t>
      </w:r>
      <w:r w:rsidRPr="00352DD0">
        <w:rPr>
          <w:noProof/>
          <w:sz w:val="20"/>
        </w:rPr>
        <w:tab/>
      </w:r>
      <w:r w:rsidRPr="00352DD0">
        <w:rPr>
          <w:noProof/>
          <w:sz w:val="20"/>
        </w:rPr>
        <w:fldChar w:fldCharType="begin"/>
      </w:r>
      <w:r w:rsidRPr="00352DD0">
        <w:rPr>
          <w:noProof/>
          <w:sz w:val="20"/>
        </w:rPr>
        <w:instrText xml:space="preserve"> PAGEREF _Toc367357527 \h </w:instrText>
      </w:r>
      <w:r w:rsidRPr="00352DD0">
        <w:rPr>
          <w:noProof/>
          <w:sz w:val="20"/>
        </w:rPr>
      </w:r>
      <w:r w:rsidRPr="00352DD0">
        <w:rPr>
          <w:noProof/>
          <w:sz w:val="20"/>
        </w:rPr>
        <w:fldChar w:fldCharType="separate"/>
      </w:r>
      <w:r w:rsidRPr="00352DD0">
        <w:rPr>
          <w:noProof/>
          <w:sz w:val="20"/>
        </w:rPr>
        <w:t>51</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26: Dostatek informací o sociálních službách a možnostech pomoci.</w:t>
      </w:r>
      <w:r w:rsidRPr="00352DD0">
        <w:rPr>
          <w:noProof/>
          <w:sz w:val="20"/>
        </w:rPr>
        <w:tab/>
      </w:r>
      <w:r w:rsidRPr="00352DD0">
        <w:rPr>
          <w:noProof/>
          <w:sz w:val="20"/>
        </w:rPr>
        <w:fldChar w:fldCharType="begin"/>
      </w:r>
      <w:r w:rsidRPr="00352DD0">
        <w:rPr>
          <w:noProof/>
          <w:sz w:val="20"/>
        </w:rPr>
        <w:instrText xml:space="preserve"> PAGEREF _Toc367357528 \h </w:instrText>
      </w:r>
      <w:r w:rsidRPr="00352DD0">
        <w:rPr>
          <w:noProof/>
          <w:sz w:val="20"/>
        </w:rPr>
      </w:r>
      <w:r w:rsidRPr="00352DD0">
        <w:rPr>
          <w:noProof/>
          <w:sz w:val="20"/>
        </w:rPr>
        <w:fldChar w:fldCharType="separate"/>
      </w:r>
      <w:r w:rsidRPr="00352DD0">
        <w:rPr>
          <w:noProof/>
          <w:sz w:val="20"/>
        </w:rPr>
        <w:t>52</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27: Chybějící informace.</w:t>
      </w:r>
      <w:r w:rsidRPr="00352DD0">
        <w:rPr>
          <w:noProof/>
          <w:sz w:val="20"/>
        </w:rPr>
        <w:tab/>
      </w:r>
      <w:r w:rsidRPr="00352DD0">
        <w:rPr>
          <w:noProof/>
          <w:sz w:val="20"/>
        </w:rPr>
        <w:fldChar w:fldCharType="begin"/>
      </w:r>
      <w:r w:rsidRPr="00352DD0">
        <w:rPr>
          <w:noProof/>
          <w:sz w:val="20"/>
        </w:rPr>
        <w:instrText xml:space="preserve"> PAGEREF _Toc367357529 \h </w:instrText>
      </w:r>
      <w:r w:rsidRPr="00352DD0">
        <w:rPr>
          <w:noProof/>
          <w:sz w:val="20"/>
        </w:rPr>
      </w:r>
      <w:r w:rsidRPr="00352DD0">
        <w:rPr>
          <w:noProof/>
          <w:sz w:val="20"/>
        </w:rPr>
        <w:fldChar w:fldCharType="separate"/>
      </w:r>
      <w:r w:rsidRPr="00352DD0">
        <w:rPr>
          <w:noProof/>
          <w:sz w:val="20"/>
        </w:rPr>
        <w:t>52</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28: Podněty k lepší informovanosti o sociálních a souvisejících službách.</w:t>
      </w:r>
      <w:r w:rsidRPr="00352DD0">
        <w:rPr>
          <w:noProof/>
          <w:sz w:val="20"/>
        </w:rPr>
        <w:tab/>
      </w:r>
      <w:r w:rsidRPr="00352DD0">
        <w:rPr>
          <w:noProof/>
          <w:sz w:val="20"/>
        </w:rPr>
        <w:fldChar w:fldCharType="begin"/>
      </w:r>
      <w:r w:rsidRPr="00352DD0">
        <w:rPr>
          <w:noProof/>
          <w:sz w:val="20"/>
        </w:rPr>
        <w:instrText xml:space="preserve"> PAGEREF _Toc367357530 \h </w:instrText>
      </w:r>
      <w:r w:rsidRPr="00352DD0">
        <w:rPr>
          <w:noProof/>
          <w:sz w:val="20"/>
        </w:rPr>
      </w:r>
      <w:r w:rsidRPr="00352DD0">
        <w:rPr>
          <w:noProof/>
          <w:sz w:val="20"/>
        </w:rPr>
        <w:fldChar w:fldCharType="separate"/>
      </w:r>
      <w:r w:rsidRPr="00352DD0">
        <w:rPr>
          <w:noProof/>
          <w:sz w:val="20"/>
        </w:rPr>
        <w:t>53</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29: Největší problémy v životě osob se zdravotním postižením.</w:t>
      </w:r>
      <w:r w:rsidRPr="00352DD0">
        <w:rPr>
          <w:noProof/>
          <w:sz w:val="20"/>
        </w:rPr>
        <w:tab/>
      </w:r>
      <w:r w:rsidRPr="00352DD0">
        <w:rPr>
          <w:noProof/>
          <w:sz w:val="20"/>
        </w:rPr>
        <w:fldChar w:fldCharType="begin"/>
      </w:r>
      <w:r w:rsidRPr="00352DD0">
        <w:rPr>
          <w:noProof/>
          <w:sz w:val="20"/>
        </w:rPr>
        <w:instrText xml:space="preserve"> PAGEREF _Toc367357531 \h </w:instrText>
      </w:r>
      <w:r w:rsidRPr="00352DD0">
        <w:rPr>
          <w:noProof/>
          <w:sz w:val="20"/>
        </w:rPr>
      </w:r>
      <w:r w:rsidRPr="00352DD0">
        <w:rPr>
          <w:noProof/>
          <w:sz w:val="20"/>
        </w:rPr>
        <w:fldChar w:fldCharType="separate"/>
      </w:r>
      <w:r w:rsidRPr="00352DD0">
        <w:rPr>
          <w:noProof/>
          <w:sz w:val="20"/>
        </w:rPr>
        <w:t>55</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30: Zájem o pomoc či asistenci proškolených a zacvičených dobrovolníků.</w:t>
      </w:r>
      <w:r w:rsidRPr="00352DD0">
        <w:rPr>
          <w:noProof/>
          <w:sz w:val="20"/>
        </w:rPr>
        <w:tab/>
      </w:r>
      <w:r w:rsidRPr="00352DD0">
        <w:rPr>
          <w:noProof/>
          <w:sz w:val="20"/>
        </w:rPr>
        <w:fldChar w:fldCharType="begin"/>
      </w:r>
      <w:r w:rsidRPr="00352DD0">
        <w:rPr>
          <w:noProof/>
          <w:sz w:val="20"/>
        </w:rPr>
        <w:instrText xml:space="preserve"> PAGEREF _Toc367357532 \h </w:instrText>
      </w:r>
      <w:r w:rsidRPr="00352DD0">
        <w:rPr>
          <w:noProof/>
          <w:sz w:val="20"/>
        </w:rPr>
      </w:r>
      <w:r w:rsidRPr="00352DD0">
        <w:rPr>
          <w:noProof/>
          <w:sz w:val="20"/>
        </w:rPr>
        <w:fldChar w:fldCharType="separate"/>
      </w:r>
      <w:r w:rsidRPr="00352DD0">
        <w:rPr>
          <w:noProof/>
          <w:sz w:val="20"/>
        </w:rPr>
        <w:t>56</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31: Chybějící služby a pomoc pro osoby se zdravotním postižením a jejich rodiny.</w:t>
      </w:r>
      <w:r w:rsidRPr="00352DD0">
        <w:rPr>
          <w:noProof/>
          <w:sz w:val="20"/>
        </w:rPr>
        <w:tab/>
      </w:r>
      <w:r w:rsidRPr="00352DD0">
        <w:rPr>
          <w:noProof/>
          <w:sz w:val="20"/>
        </w:rPr>
        <w:fldChar w:fldCharType="begin"/>
      </w:r>
      <w:r w:rsidRPr="00352DD0">
        <w:rPr>
          <w:noProof/>
          <w:sz w:val="20"/>
        </w:rPr>
        <w:instrText xml:space="preserve"> PAGEREF _Toc367357533 \h </w:instrText>
      </w:r>
      <w:r w:rsidRPr="00352DD0">
        <w:rPr>
          <w:noProof/>
          <w:sz w:val="20"/>
        </w:rPr>
      </w:r>
      <w:r w:rsidRPr="00352DD0">
        <w:rPr>
          <w:noProof/>
          <w:sz w:val="20"/>
        </w:rPr>
        <w:fldChar w:fldCharType="separate"/>
      </w:r>
      <w:r w:rsidRPr="00352DD0">
        <w:rPr>
          <w:noProof/>
          <w:sz w:val="20"/>
        </w:rPr>
        <w:t>58</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32: Chybějící prostředky pro snazší pohyb po Velkém Meziříčí.</w:t>
      </w:r>
      <w:r w:rsidRPr="00352DD0">
        <w:rPr>
          <w:noProof/>
          <w:sz w:val="20"/>
        </w:rPr>
        <w:tab/>
      </w:r>
      <w:r w:rsidRPr="00352DD0">
        <w:rPr>
          <w:noProof/>
          <w:sz w:val="20"/>
        </w:rPr>
        <w:fldChar w:fldCharType="begin"/>
      </w:r>
      <w:r w:rsidRPr="00352DD0">
        <w:rPr>
          <w:noProof/>
          <w:sz w:val="20"/>
        </w:rPr>
        <w:instrText xml:space="preserve"> PAGEREF _Toc367357534 \h </w:instrText>
      </w:r>
      <w:r w:rsidRPr="00352DD0">
        <w:rPr>
          <w:noProof/>
          <w:sz w:val="20"/>
        </w:rPr>
      </w:r>
      <w:r w:rsidRPr="00352DD0">
        <w:rPr>
          <w:noProof/>
          <w:sz w:val="20"/>
        </w:rPr>
        <w:fldChar w:fldCharType="separate"/>
      </w:r>
      <w:r w:rsidRPr="00352DD0">
        <w:rPr>
          <w:noProof/>
          <w:sz w:val="20"/>
        </w:rPr>
        <w:t>59</w:t>
      </w:r>
      <w:r w:rsidRPr="00352DD0">
        <w:rPr>
          <w:noProof/>
          <w:sz w:val="20"/>
        </w:rPr>
        <w:fldChar w:fldCharType="end"/>
      </w:r>
    </w:p>
    <w:p w:rsidR="0072544D" w:rsidRPr="00352DD0" w:rsidRDefault="0072544D" w:rsidP="00352DD0">
      <w:pPr>
        <w:pStyle w:val="Seznamobrzk"/>
        <w:tabs>
          <w:tab w:val="right" w:leader="dot" w:pos="9062"/>
        </w:tabs>
        <w:rPr>
          <w:noProof/>
          <w:sz w:val="20"/>
        </w:rPr>
      </w:pPr>
      <w:r w:rsidRPr="00352DD0">
        <w:rPr>
          <w:noProof/>
          <w:sz w:val="20"/>
        </w:rPr>
        <w:t>Graf č. 33: Forma stálé péče a pomoci.</w:t>
      </w:r>
      <w:r w:rsidRPr="00352DD0">
        <w:rPr>
          <w:noProof/>
          <w:sz w:val="20"/>
        </w:rPr>
        <w:tab/>
      </w:r>
      <w:r w:rsidRPr="00352DD0">
        <w:rPr>
          <w:noProof/>
          <w:sz w:val="20"/>
        </w:rPr>
        <w:fldChar w:fldCharType="begin"/>
      </w:r>
      <w:r w:rsidRPr="00352DD0">
        <w:rPr>
          <w:noProof/>
          <w:sz w:val="20"/>
        </w:rPr>
        <w:instrText xml:space="preserve"> PAGEREF _Toc367357535 \h </w:instrText>
      </w:r>
      <w:r w:rsidRPr="00352DD0">
        <w:rPr>
          <w:noProof/>
          <w:sz w:val="20"/>
        </w:rPr>
      </w:r>
      <w:r w:rsidRPr="00352DD0">
        <w:rPr>
          <w:noProof/>
          <w:sz w:val="20"/>
        </w:rPr>
        <w:fldChar w:fldCharType="separate"/>
      </w:r>
      <w:r w:rsidRPr="00352DD0">
        <w:rPr>
          <w:noProof/>
          <w:sz w:val="20"/>
        </w:rPr>
        <w:t>60</w:t>
      </w:r>
      <w:r w:rsidRPr="00352DD0">
        <w:rPr>
          <w:noProof/>
          <w:sz w:val="20"/>
        </w:rPr>
        <w:fldChar w:fldCharType="end"/>
      </w:r>
    </w:p>
    <w:p w:rsidR="0072544D" w:rsidRDefault="0072544D" w:rsidP="00352DD0">
      <w:pPr>
        <w:rPr>
          <w:sz w:val="20"/>
        </w:rPr>
      </w:pPr>
      <w:r w:rsidRPr="00352DD0">
        <w:rPr>
          <w:sz w:val="20"/>
        </w:rPr>
        <w:fldChar w:fldCharType="end"/>
      </w:r>
    </w:p>
    <w:p w:rsidR="00352DD0" w:rsidRPr="0072544D" w:rsidRDefault="00352DD0" w:rsidP="00352DD0"/>
    <w:p w:rsidR="00426EFF" w:rsidRDefault="00426EFF" w:rsidP="00426EFF">
      <w:pPr>
        <w:pStyle w:val="Nadpis2"/>
      </w:pPr>
      <w:bookmarkStart w:id="117" w:name="_Toc367278178"/>
      <w:r>
        <w:t>Seznam tabulek</w:t>
      </w:r>
      <w:bookmarkEnd w:id="117"/>
    </w:p>
    <w:p w:rsidR="00594151" w:rsidRPr="00594151" w:rsidRDefault="00352DD0">
      <w:pPr>
        <w:pStyle w:val="Seznamobrzk"/>
        <w:tabs>
          <w:tab w:val="right" w:leader="dot" w:pos="9062"/>
        </w:tabs>
        <w:rPr>
          <w:rFonts w:asciiTheme="minorHAnsi" w:eastAsiaTheme="minorEastAsia" w:hAnsiTheme="minorHAnsi"/>
          <w:noProof/>
          <w:sz w:val="18"/>
          <w:lang w:eastAsia="cs-CZ"/>
        </w:rPr>
      </w:pPr>
      <w:r w:rsidRPr="00352DD0">
        <w:rPr>
          <w:sz w:val="20"/>
          <w:szCs w:val="20"/>
        </w:rPr>
        <w:fldChar w:fldCharType="begin"/>
      </w:r>
      <w:r w:rsidRPr="00352DD0">
        <w:rPr>
          <w:sz w:val="20"/>
          <w:szCs w:val="20"/>
        </w:rPr>
        <w:instrText xml:space="preserve"> TOC \c "Tabulka č." </w:instrText>
      </w:r>
      <w:r w:rsidRPr="00352DD0">
        <w:rPr>
          <w:sz w:val="20"/>
          <w:szCs w:val="20"/>
        </w:rPr>
        <w:fldChar w:fldCharType="separate"/>
      </w:r>
      <w:r w:rsidR="00594151" w:rsidRPr="00594151">
        <w:rPr>
          <w:noProof/>
          <w:sz w:val="20"/>
        </w:rPr>
        <w:t>Tabulka č. 1: Vývoj počtu sňatků uzavřených na území Velkého Meziříčí v letech 2003-2012.</w:t>
      </w:r>
      <w:r w:rsidR="00594151" w:rsidRPr="00594151">
        <w:rPr>
          <w:noProof/>
          <w:sz w:val="20"/>
        </w:rPr>
        <w:tab/>
      </w:r>
      <w:r w:rsidR="00594151" w:rsidRPr="00594151">
        <w:rPr>
          <w:noProof/>
          <w:sz w:val="20"/>
        </w:rPr>
        <w:fldChar w:fldCharType="begin"/>
      </w:r>
      <w:r w:rsidR="00594151" w:rsidRPr="00594151">
        <w:rPr>
          <w:noProof/>
          <w:sz w:val="20"/>
        </w:rPr>
        <w:instrText xml:space="preserve"> PAGEREF _Toc367794845 \h </w:instrText>
      </w:r>
      <w:r w:rsidR="00594151" w:rsidRPr="00594151">
        <w:rPr>
          <w:noProof/>
          <w:sz w:val="20"/>
        </w:rPr>
      </w:r>
      <w:r w:rsidR="00594151" w:rsidRPr="00594151">
        <w:rPr>
          <w:noProof/>
          <w:sz w:val="20"/>
        </w:rPr>
        <w:fldChar w:fldCharType="separate"/>
      </w:r>
      <w:r w:rsidR="00594151" w:rsidRPr="00594151">
        <w:rPr>
          <w:noProof/>
          <w:sz w:val="20"/>
        </w:rPr>
        <w:t>11</w:t>
      </w:r>
      <w:r w:rsidR="00594151"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2: Vývoj počtu rozvedených manželství na území Velkého Meziříčí v letech 2003 - 2012.</w:t>
      </w:r>
      <w:r w:rsidRPr="00594151">
        <w:rPr>
          <w:noProof/>
          <w:sz w:val="20"/>
        </w:rPr>
        <w:tab/>
      </w:r>
      <w:r w:rsidRPr="00594151">
        <w:rPr>
          <w:noProof/>
          <w:sz w:val="20"/>
        </w:rPr>
        <w:fldChar w:fldCharType="begin"/>
      </w:r>
      <w:r w:rsidRPr="00594151">
        <w:rPr>
          <w:noProof/>
          <w:sz w:val="20"/>
        </w:rPr>
        <w:instrText xml:space="preserve"> PAGEREF _Toc367794846 \h </w:instrText>
      </w:r>
      <w:r w:rsidRPr="00594151">
        <w:rPr>
          <w:noProof/>
          <w:sz w:val="20"/>
        </w:rPr>
      </w:r>
      <w:r w:rsidRPr="00594151">
        <w:rPr>
          <w:noProof/>
          <w:sz w:val="20"/>
        </w:rPr>
        <w:fldChar w:fldCharType="separate"/>
      </w:r>
      <w:r w:rsidRPr="00594151">
        <w:rPr>
          <w:noProof/>
          <w:sz w:val="20"/>
        </w:rPr>
        <w:t>12</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3: Počet žádostí o příspěvek na mobilitu a o příspěvek na péči pro osoby se zdravotním postižením k 31. 12. 2012 v jednotlivých obcích s rozšířenou působností v kraji Vysočina.</w:t>
      </w:r>
      <w:r w:rsidRPr="00594151">
        <w:rPr>
          <w:noProof/>
          <w:sz w:val="20"/>
        </w:rPr>
        <w:tab/>
      </w:r>
      <w:r w:rsidRPr="00594151">
        <w:rPr>
          <w:noProof/>
          <w:sz w:val="20"/>
        </w:rPr>
        <w:fldChar w:fldCharType="begin"/>
      </w:r>
      <w:r w:rsidRPr="00594151">
        <w:rPr>
          <w:noProof/>
          <w:sz w:val="20"/>
        </w:rPr>
        <w:instrText xml:space="preserve"> PAGEREF _Toc367794847 \h </w:instrText>
      </w:r>
      <w:r w:rsidRPr="00594151">
        <w:rPr>
          <w:noProof/>
          <w:sz w:val="20"/>
        </w:rPr>
      </w:r>
      <w:r w:rsidRPr="00594151">
        <w:rPr>
          <w:noProof/>
          <w:sz w:val="20"/>
        </w:rPr>
        <w:fldChar w:fldCharType="separate"/>
      </w:r>
      <w:r w:rsidRPr="00594151">
        <w:rPr>
          <w:noProof/>
          <w:sz w:val="20"/>
        </w:rPr>
        <w:t>14</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4: Počet žádostí o příspěvek na mobilitu a o příspěvek na péči pro osoby se zdravotním postižením k 30. 6. 2012 v jednotlivých obcích s rozšířenou působností v kraji Vysočina.</w:t>
      </w:r>
      <w:r w:rsidRPr="00594151">
        <w:rPr>
          <w:noProof/>
          <w:sz w:val="20"/>
        </w:rPr>
        <w:tab/>
      </w:r>
      <w:r w:rsidRPr="00594151">
        <w:rPr>
          <w:noProof/>
          <w:sz w:val="20"/>
        </w:rPr>
        <w:fldChar w:fldCharType="begin"/>
      </w:r>
      <w:r w:rsidRPr="00594151">
        <w:rPr>
          <w:noProof/>
          <w:sz w:val="20"/>
        </w:rPr>
        <w:instrText xml:space="preserve"> PAGEREF _Toc367794848 \h </w:instrText>
      </w:r>
      <w:r w:rsidRPr="00594151">
        <w:rPr>
          <w:noProof/>
          <w:sz w:val="20"/>
        </w:rPr>
      </w:r>
      <w:r w:rsidRPr="00594151">
        <w:rPr>
          <w:noProof/>
          <w:sz w:val="20"/>
        </w:rPr>
        <w:fldChar w:fldCharType="separate"/>
      </w:r>
      <w:r w:rsidRPr="00594151">
        <w:rPr>
          <w:noProof/>
          <w:sz w:val="20"/>
        </w:rPr>
        <w:t>14</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5: Sociální služby města Velké Meziříčí</w:t>
      </w:r>
      <w:r w:rsidRPr="00594151">
        <w:rPr>
          <w:noProof/>
          <w:sz w:val="20"/>
        </w:rPr>
        <w:tab/>
      </w:r>
      <w:r w:rsidRPr="00594151">
        <w:rPr>
          <w:noProof/>
          <w:sz w:val="20"/>
        </w:rPr>
        <w:fldChar w:fldCharType="begin"/>
      </w:r>
      <w:r w:rsidRPr="00594151">
        <w:rPr>
          <w:noProof/>
          <w:sz w:val="20"/>
        </w:rPr>
        <w:instrText xml:space="preserve"> PAGEREF _Toc367794849 \h </w:instrText>
      </w:r>
      <w:r w:rsidRPr="00594151">
        <w:rPr>
          <w:noProof/>
          <w:sz w:val="20"/>
        </w:rPr>
      </w:r>
      <w:r w:rsidRPr="00594151">
        <w:rPr>
          <w:noProof/>
          <w:sz w:val="20"/>
        </w:rPr>
        <w:fldChar w:fldCharType="separate"/>
      </w:r>
      <w:r w:rsidRPr="00594151">
        <w:rPr>
          <w:noProof/>
          <w:sz w:val="20"/>
        </w:rPr>
        <w:t>16</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6: Hospicové hnutí - Vysočina, o. s.</w:t>
      </w:r>
      <w:r w:rsidRPr="00594151">
        <w:rPr>
          <w:noProof/>
          <w:sz w:val="20"/>
        </w:rPr>
        <w:tab/>
      </w:r>
      <w:r w:rsidRPr="00594151">
        <w:rPr>
          <w:noProof/>
          <w:sz w:val="20"/>
        </w:rPr>
        <w:fldChar w:fldCharType="begin"/>
      </w:r>
      <w:r w:rsidRPr="00594151">
        <w:rPr>
          <w:noProof/>
          <w:sz w:val="20"/>
        </w:rPr>
        <w:instrText xml:space="preserve"> PAGEREF _Toc367794850 \h </w:instrText>
      </w:r>
      <w:r w:rsidRPr="00594151">
        <w:rPr>
          <w:noProof/>
          <w:sz w:val="20"/>
        </w:rPr>
      </w:r>
      <w:r w:rsidRPr="00594151">
        <w:rPr>
          <w:noProof/>
          <w:sz w:val="20"/>
        </w:rPr>
        <w:fldChar w:fldCharType="separate"/>
      </w:r>
      <w:r w:rsidRPr="00594151">
        <w:rPr>
          <w:noProof/>
          <w:sz w:val="20"/>
        </w:rPr>
        <w:t>17</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7: Ústav sociální péče Křižanov, příspěvková organizace</w:t>
      </w:r>
      <w:r w:rsidRPr="00594151">
        <w:rPr>
          <w:noProof/>
          <w:sz w:val="20"/>
        </w:rPr>
        <w:tab/>
      </w:r>
      <w:r w:rsidRPr="00594151">
        <w:rPr>
          <w:noProof/>
          <w:sz w:val="20"/>
        </w:rPr>
        <w:fldChar w:fldCharType="begin"/>
      </w:r>
      <w:r w:rsidRPr="00594151">
        <w:rPr>
          <w:noProof/>
          <w:sz w:val="20"/>
        </w:rPr>
        <w:instrText xml:space="preserve"> PAGEREF _Toc367794851 \h </w:instrText>
      </w:r>
      <w:r w:rsidRPr="00594151">
        <w:rPr>
          <w:noProof/>
          <w:sz w:val="20"/>
        </w:rPr>
      </w:r>
      <w:r w:rsidRPr="00594151">
        <w:rPr>
          <w:noProof/>
          <w:sz w:val="20"/>
        </w:rPr>
        <w:fldChar w:fldCharType="separate"/>
      </w:r>
      <w:r w:rsidRPr="00594151">
        <w:rPr>
          <w:noProof/>
          <w:sz w:val="20"/>
        </w:rPr>
        <w:t>18</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8: Domov pro seniory Velké Meziříčí, p. o.</w:t>
      </w:r>
      <w:r w:rsidRPr="00594151">
        <w:rPr>
          <w:noProof/>
          <w:sz w:val="20"/>
        </w:rPr>
        <w:tab/>
      </w:r>
      <w:r w:rsidRPr="00594151">
        <w:rPr>
          <w:noProof/>
          <w:sz w:val="20"/>
        </w:rPr>
        <w:fldChar w:fldCharType="begin"/>
      </w:r>
      <w:r w:rsidRPr="00594151">
        <w:rPr>
          <w:noProof/>
          <w:sz w:val="20"/>
        </w:rPr>
        <w:instrText xml:space="preserve"> PAGEREF _Toc367794852 \h </w:instrText>
      </w:r>
      <w:r w:rsidRPr="00594151">
        <w:rPr>
          <w:noProof/>
          <w:sz w:val="20"/>
        </w:rPr>
      </w:r>
      <w:r w:rsidRPr="00594151">
        <w:rPr>
          <w:noProof/>
          <w:sz w:val="20"/>
        </w:rPr>
        <w:fldChar w:fldCharType="separate"/>
      </w:r>
      <w:r w:rsidRPr="00594151">
        <w:rPr>
          <w:noProof/>
          <w:sz w:val="20"/>
        </w:rPr>
        <w:t>19</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9: Domácí hospicová péče Oblastní charita Žďár na Sázavou</w:t>
      </w:r>
      <w:r w:rsidRPr="00594151">
        <w:rPr>
          <w:noProof/>
          <w:sz w:val="20"/>
        </w:rPr>
        <w:tab/>
      </w:r>
      <w:r w:rsidRPr="00594151">
        <w:rPr>
          <w:noProof/>
          <w:sz w:val="20"/>
        </w:rPr>
        <w:fldChar w:fldCharType="begin"/>
      </w:r>
      <w:r w:rsidRPr="00594151">
        <w:rPr>
          <w:noProof/>
          <w:sz w:val="20"/>
        </w:rPr>
        <w:instrText xml:space="preserve"> PAGEREF _Toc367794853 \h </w:instrText>
      </w:r>
      <w:r w:rsidRPr="00594151">
        <w:rPr>
          <w:noProof/>
          <w:sz w:val="20"/>
        </w:rPr>
      </w:r>
      <w:r w:rsidRPr="00594151">
        <w:rPr>
          <w:noProof/>
          <w:sz w:val="20"/>
        </w:rPr>
        <w:fldChar w:fldCharType="separate"/>
      </w:r>
      <w:r w:rsidRPr="00594151">
        <w:rPr>
          <w:noProof/>
          <w:sz w:val="20"/>
        </w:rPr>
        <w:t>20</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10: Nesa - denní stacionář</w:t>
      </w:r>
      <w:r w:rsidRPr="00594151">
        <w:rPr>
          <w:noProof/>
          <w:sz w:val="20"/>
        </w:rPr>
        <w:tab/>
      </w:r>
      <w:r w:rsidRPr="00594151">
        <w:rPr>
          <w:noProof/>
          <w:sz w:val="20"/>
        </w:rPr>
        <w:fldChar w:fldCharType="begin"/>
      </w:r>
      <w:r w:rsidRPr="00594151">
        <w:rPr>
          <w:noProof/>
          <w:sz w:val="20"/>
        </w:rPr>
        <w:instrText xml:space="preserve"> PAGEREF _Toc367794854 \h </w:instrText>
      </w:r>
      <w:r w:rsidRPr="00594151">
        <w:rPr>
          <w:noProof/>
          <w:sz w:val="20"/>
        </w:rPr>
      </w:r>
      <w:r w:rsidRPr="00594151">
        <w:rPr>
          <w:noProof/>
          <w:sz w:val="20"/>
        </w:rPr>
        <w:fldChar w:fldCharType="separate"/>
      </w:r>
      <w:r w:rsidRPr="00594151">
        <w:rPr>
          <w:noProof/>
          <w:sz w:val="20"/>
        </w:rPr>
        <w:t>21</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11: Osobní asistence Velké Meziříčí</w:t>
      </w:r>
      <w:r w:rsidRPr="00594151">
        <w:rPr>
          <w:noProof/>
          <w:sz w:val="20"/>
        </w:rPr>
        <w:tab/>
      </w:r>
      <w:r w:rsidRPr="00594151">
        <w:rPr>
          <w:noProof/>
          <w:sz w:val="20"/>
        </w:rPr>
        <w:fldChar w:fldCharType="begin"/>
      </w:r>
      <w:r w:rsidRPr="00594151">
        <w:rPr>
          <w:noProof/>
          <w:sz w:val="20"/>
        </w:rPr>
        <w:instrText xml:space="preserve"> PAGEREF _Toc367794855 \h </w:instrText>
      </w:r>
      <w:r w:rsidRPr="00594151">
        <w:rPr>
          <w:noProof/>
          <w:sz w:val="20"/>
        </w:rPr>
      </w:r>
      <w:r w:rsidRPr="00594151">
        <w:rPr>
          <w:noProof/>
          <w:sz w:val="20"/>
        </w:rPr>
        <w:fldChar w:fldCharType="separate"/>
      </w:r>
      <w:r w:rsidRPr="00594151">
        <w:rPr>
          <w:noProof/>
          <w:sz w:val="20"/>
        </w:rPr>
        <w:t>22</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12: Charitní ošetřovatelská služba Žďár nad Sázavou</w:t>
      </w:r>
      <w:r w:rsidRPr="00594151">
        <w:rPr>
          <w:noProof/>
          <w:sz w:val="20"/>
        </w:rPr>
        <w:tab/>
      </w:r>
      <w:r w:rsidRPr="00594151">
        <w:rPr>
          <w:noProof/>
          <w:sz w:val="20"/>
        </w:rPr>
        <w:fldChar w:fldCharType="begin"/>
      </w:r>
      <w:r w:rsidRPr="00594151">
        <w:rPr>
          <w:noProof/>
          <w:sz w:val="20"/>
        </w:rPr>
        <w:instrText xml:space="preserve"> PAGEREF _Toc367794856 \h </w:instrText>
      </w:r>
      <w:r w:rsidRPr="00594151">
        <w:rPr>
          <w:noProof/>
          <w:sz w:val="20"/>
        </w:rPr>
      </w:r>
      <w:r w:rsidRPr="00594151">
        <w:rPr>
          <w:noProof/>
          <w:sz w:val="20"/>
        </w:rPr>
        <w:fldChar w:fldCharType="separate"/>
      </w:r>
      <w:r w:rsidRPr="00594151">
        <w:rPr>
          <w:noProof/>
          <w:sz w:val="20"/>
        </w:rPr>
        <w:t>23</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13: Centrum Kociánka (Dětské středisko Březejc)</w:t>
      </w:r>
      <w:r w:rsidRPr="00594151">
        <w:rPr>
          <w:noProof/>
          <w:sz w:val="20"/>
        </w:rPr>
        <w:tab/>
      </w:r>
      <w:r w:rsidRPr="00594151">
        <w:rPr>
          <w:noProof/>
          <w:sz w:val="20"/>
        </w:rPr>
        <w:fldChar w:fldCharType="begin"/>
      </w:r>
      <w:r w:rsidRPr="00594151">
        <w:rPr>
          <w:noProof/>
          <w:sz w:val="20"/>
        </w:rPr>
        <w:instrText xml:space="preserve"> PAGEREF _Toc367794857 \h </w:instrText>
      </w:r>
      <w:r w:rsidRPr="00594151">
        <w:rPr>
          <w:noProof/>
          <w:sz w:val="20"/>
        </w:rPr>
      </w:r>
      <w:r w:rsidRPr="00594151">
        <w:rPr>
          <w:noProof/>
          <w:sz w:val="20"/>
        </w:rPr>
        <w:fldChar w:fldCharType="separate"/>
      </w:r>
      <w:r w:rsidRPr="00594151">
        <w:rPr>
          <w:noProof/>
          <w:sz w:val="20"/>
        </w:rPr>
        <w:t>24</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14: Zdeňka Lancmanová osobní asistent – pečovatel.</w:t>
      </w:r>
      <w:r w:rsidRPr="00594151">
        <w:rPr>
          <w:noProof/>
          <w:sz w:val="20"/>
        </w:rPr>
        <w:tab/>
      </w:r>
      <w:r w:rsidRPr="00594151">
        <w:rPr>
          <w:noProof/>
          <w:sz w:val="20"/>
        </w:rPr>
        <w:fldChar w:fldCharType="begin"/>
      </w:r>
      <w:r w:rsidRPr="00594151">
        <w:rPr>
          <w:noProof/>
          <w:sz w:val="20"/>
        </w:rPr>
        <w:instrText xml:space="preserve"> PAGEREF _Toc367794858 \h </w:instrText>
      </w:r>
      <w:r w:rsidRPr="00594151">
        <w:rPr>
          <w:noProof/>
          <w:sz w:val="20"/>
        </w:rPr>
      </w:r>
      <w:r w:rsidRPr="00594151">
        <w:rPr>
          <w:noProof/>
          <w:sz w:val="20"/>
        </w:rPr>
        <w:fldChar w:fldCharType="separate"/>
      </w:r>
      <w:r w:rsidRPr="00594151">
        <w:rPr>
          <w:noProof/>
          <w:sz w:val="20"/>
        </w:rPr>
        <w:t>25</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15: Liga vozíčkářů</w:t>
      </w:r>
      <w:r w:rsidRPr="00594151">
        <w:rPr>
          <w:noProof/>
          <w:sz w:val="20"/>
        </w:rPr>
        <w:tab/>
      </w:r>
      <w:r w:rsidRPr="00594151">
        <w:rPr>
          <w:noProof/>
          <w:sz w:val="20"/>
        </w:rPr>
        <w:fldChar w:fldCharType="begin"/>
      </w:r>
      <w:r w:rsidRPr="00594151">
        <w:rPr>
          <w:noProof/>
          <w:sz w:val="20"/>
        </w:rPr>
        <w:instrText xml:space="preserve"> PAGEREF _Toc367794859 \h </w:instrText>
      </w:r>
      <w:r w:rsidRPr="00594151">
        <w:rPr>
          <w:noProof/>
          <w:sz w:val="20"/>
        </w:rPr>
      </w:r>
      <w:r w:rsidRPr="00594151">
        <w:rPr>
          <w:noProof/>
          <w:sz w:val="20"/>
        </w:rPr>
        <w:fldChar w:fldCharType="separate"/>
      </w:r>
      <w:r w:rsidRPr="00594151">
        <w:rPr>
          <w:noProof/>
          <w:sz w:val="20"/>
        </w:rPr>
        <w:t>26</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16: Středisko rané péče Třebíč</w:t>
      </w:r>
      <w:r w:rsidRPr="00594151">
        <w:rPr>
          <w:noProof/>
          <w:sz w:val="20"/>
        </w:rPr>
        <w:tab/>
      </w:r>
      <w:r w:rsidRPr="00594151">
        <w:rPr>
          <w:noProof/>
          <w:sz w:val="20"/>
        </w:rPr>
        <w:fldChar w:fldCharType="begin"/>
      </w:r>
      <w:r w:rsidRPr="00594151">
        <w:rPr>
          <w:noProof/>
          <w:sz w:val="20"/>
        </w:rPr>
        <w:instrText xml:space="preserve"> PAGEREF _Toc367794860 \h </w:instrText>
      </w:r>
      <w:r w:rsidRPr="00594151">
        <w:rPr>
          <w:noProof/>
          <w:sz w:val="20"/>
        </w:rPr>
      </w:r>
      <w:r w:rsidRPr="00594151">
        <w:rPr>
          <w:noProof/>
          <w:sz w:val="20"/>
        </w:rPr>
        <w:fldChar w:fldCharType="separate"/>
      </w:r>
      <w:r w:rsidRPr="00594151">
        <w:rPr>
          <w:noProof/>
          <w:sz w:val="20"/>
        </w:rPr>
        <w:t>27</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17: K - centrum Noe Třebíč</w:t>
      </w:r>
      <w:r w:rsidRPr="00594151">
        <w:rPr>
          <w:noProof/>
          <w:sz w:val="20"/>
        </w:rPr>
        <w:tab/>
      </w:r>
      <w:r w:rsidRPr="00594151">
        <w:rPr>
          <w:noProof/>
          <w:sz w:val="20"/>
        </w:rPr>
        <w:fldChar w:fldCharType="begin"/>
      </w:r>
      <w:r w:rsidRPr="00594151">
        <w:rPr>
          <w:noProof/>
          <w:sz w:val="20"/>
        </w:rPr>
        <w:instrText xml:space="preserve"> PAGEREF _Toc367794861 \h </w:instrText>
      </w:r>
      <w:r w:rsidRPr="00594151">
        <w:rPr>
          <w:noProof/>
          <w:sz w:val="20"/>
        </w:rPr>
      </w:r>
      <w:r w:rsidRPr="00594151">
        <w:rPr>
          <w:noProof/>
          <w:sz w:val="20"/>
        </w:rPr>
        <w:fldChar w:fldCharType="separate"/>
      </w:r>
      <w:r w:rsidRPr="00594151">
        <w:rPr>
          <w:noProof/>
          <w:sz w:val="20"/>
        </w:rPr>
        <w:t>28</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18: ZO Neslyšících a nedoslýchavých Velké Meziříčí</w:t>
      </w:r>
      <w:r w:rsidRPr="00594151">
        <w:rPr>
          <w:noProof/>
          <w:sz w:val="20"/>
        </w:rPr>
        <w:tab/>
      </w:r>
      <w:r w:rsidRPr="00594151">
        <w:rPr>
          <w:noProof/>
          <w:sz w:val="20"/>
        </w:rPr>
        <w:fldChar w:fldCharType="begin"/>
      </w:r>
      <w:r w:rsidRPr="00594151">
        <w:rPr>
          <w:noProof/>
          <w:sz w:val="20"/>
        </w:rPr>
        <w:instrText xml:space="preserve"> PAGEREF _Toc367794862 \h </w:instrText>
      </w:r>
      <w:r w:rsidRPr="00594151">
        <w:rPr>
          <w:noProof/>
          <w:sz w:val="20"/>
        </w:rPr>
      </w:r>
      <w:r w:rsidRPr="00594151">
        <w:rPr>
          <w:noProof/>
          <w:sz w:val="20"/>
        </w:rPr>
        <w:fldChar w:fldCharType="separate"/>
      </w:r>
      <w:r w:rsidRPr="00594151">
        <w:rPr>
          <w:noProof/>
          <w:sz w:val="20"/>
        </w:rPr>
        <w:t>29</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19: Wellmez - nízkoprahové zařízení pro děti a mládež</w:t>
      </w:r>
      <w:r w:rsidRPr="00594151">
        <w:rPr>
          <w:noProof/>
          <w:sz w:val="20"/>
        </w:rPr>
        <w:tab/>
      </w:r>
      <w:r w:rsidRPr="00594151">
        <w:rPr>
          <w:noProof/>
          <w:sz w:val="20"/>
        </w:rPr>
        <w:fldChar w:fldCharType="begin"/>
      </w:r>
      <w:r w:rsidRPr="00594151">
        <w:rPr>
          <w:noProof/>
          <w:sz w:val="20"/>
        </w:rPr>
        <w:instrText xml:space="preserve"> PAGEREF _Toc367794863 \h </w:instrText>
      </w:r>
      <w:r w:rsidRPr="00594151">
        <w:rPr>
          <w:noProof/>
          <w:sz w:val="20"/>
        </w:rPr>
      </w:r>
      <w:r w:rsidRPr="00594151">
        <w:rPr>
          <w:noProof/>
          <w:sz w:val="20"/>
        </w:rPr>
        <w:fldChar w:fldCharType="separate"/>
      </w:r>
      <w:r w:rsidRPr="00594151">
        <w:rPr>
          <w:noProof/>
          <w:sz w:val="20"/>
        </w:rPr>
        <w:t>30</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20: Centrum prevence Oblastní charity Žďár nad Sázavou</w:t>
      </w:r>
      <w:r w:rsidRPr="00594151">
        <w:rPr>
          <w:noProof/>
          <w:sz w:val="20"/>
        </w:rPr>
        <w:tab/>
      </w:r>
      <w:r w:rsidRPr="00594151">
        <w:rPr>
          <w:noProof/>
          <w:sz w:val="20"/>
        </w:rPr>
        <w:fldChar w:fldCharType="begin"/>
      </w:r>
      <w:r w:rsidRPr="00594151">
        <w:rPr>
          <w:noProof/>
          <w:sz w:val="20"/>
        </w:rPr>
        <w:instrText xml:space="preserve"> PAGEREF _Toc367794864 \h </w:instrText>
      </w:r>
      <w:r w:rsidRPr="00594151">
        <w:rPr>
          <w:noProof/>
          <w:sz w:val="20"/>
        </w:rPr>
      </w:r>
      <w:r w:rsidRPr="00594151">
        <w:rPr>
          <w:noProof/>
          <w:sz w:val="20"/>
        </w:rPr>
        <w:fldChar w:fldCharType="separate"/>
      </w:r>
      <w:r w:rsidRPr="00594151">
        <w:rPr>
          <w:noProof/>
          <w:sz w:val="20"/>
        </w:rPr>
        <w:t>31</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21: Kopretina - centrum pro rodiče s dětmi ve Velkém Meziříčí</w:t>
      </w:r>
      <w:r w:rsidRPr="00594151">
        <w:rPr>
          <w:noProof/>
          <w:sz w:val="20"/>
        </w:rPr>
        <w:tab/>
      </w:r>
      <w:r w:rsidRPr="00594151">
        <w:rPr>
          <w:noProof/>
          <w:sz w:val="20"/>
        </w:rPr>
        <w:fldChar w:fldCharType="begin"/>
      </w:r>
      <w:r w:rsidRPr="00594151">
        <w:rPr>
          <w:noProof/>
          <w:sz w:val="20"/>
        </w:rPr>
        <w:instrText xml:space="preserve"> PAGEREF _Toc367794865 \h </w:instrText>
      </w:r>
      <w:r w:rsidRPr="00594151">
        <w:rPr>
          <w:noProof/>
          <w:sz w:val="20"/>
        </w:rPr>
      </w:r>
      <w:r w:rsidRPr="00594151">
        <w:rPr>
          <w:noProof/>
          <w:sz w:val="20"/>
        </w:rPr>
        <w:fldChar w:fldCharType="separate"/>
      </w:r>
      <w:r w:rsidRPr="00594151">
        <w:rPr>
          <w:noProof/>
          <w:sz w:val="20"/>
        </w:rPr>
        <w:t>32</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22: Klub v 9 - centrum služeb pro podporu duševního zdraví</w:t>
      </w:r>
      <w:r w:rsidRPr="00594151">
        <w:rPr>
          <w:noProof/>
          <w:sz w:val="20"/>
        </w:rPr>
        <w:tab/>
      </w:r>
      <w:r w:rsidRPr="00594151">
        <w:rPr>
          <w:noProof/>
          <w:sz w:val="20"/>
        </w:rPr>
        <w:fldChar w:fldCharType="begin"/>
      </w:r>
      <w:r w:rsidRPr="00594151">
        <w:rPr>
          <w:noProof/>
          <w:sz w:val="20"/>
        </w:rPr>
        <w:instrText xml:space="preserve"> PAGEREF _Toc367794866 \h </w:instrText>
      </w:r>
      <w:r w:rsidRPr="00594151">
        <w:rPr>
          <w:noProof/>
          <w:sz w:val="20"/>
        </w:rPr>
      </w:r>
      <w:r w:rsidRPr="00594151">
        <w:rPr>
          <w:noProof/>
          <w:sz w:val="20"/>
        </w:rPr>
        <w:fldChar w:fldCharType="separate"/>
      </w:r>
      <w:r w:rsidRPr="00594151">
        <w:rPr>
          <w:noProof/>
          <w:sz w:val="20"/>
        </w:rPr>
        <w:t>33</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23: Sociálně aktivizační služby pro rodiny s dětmi Žďár nad Sázavou</w:t>
      </w:r>
      <w:r w:rsidRPr="00594151">
        <w:rPr>
          <w:noProof/>
          <w:sz w:val="20"/>
        </w:rPr>
        <w:tab/>
      </w:r>
      <w:r w:rsidRPr="00594151">
        <w:rPr>
          <w:noProof/>
          <w:sz w:val="20"/>
        </w:rPr>
        <w:fldChar w:fldCharType="begin"/>
      </w:r>
      <w:r w:rsidRPr="00594151">
        <w:rPr>
          <w:noProof/>
          <w:sz w:val="20"/>
        </w:rPr>
        <w:instrText xml:space="preserve"> PAGEREF _Toc367794867 \h </w:instrText>
      </w:r>
      <w:r w:rsidRPr="00594151">
        <w:rPr>
          <w:noProof/>
          <w:sz w:val="20"/>
        </w:rPr>
      </w:r>
      <w:r w:rsidRPr="00594151">
        <w:rPr>
          <w:noProof/>
          <w:sz w:val="20"/>
        </w:rPr>
        <w:fldChar w:fldCharType="separate"/>
      </w:r>
      <w:r w:rsidRPr="00594151">
        <w:rPr>
          <w:noProof/>
          <w:sz w:val="20"/>
        </w:rPr>
        <w:t>34</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24: Občanská poradna Žďár nad Sázavou</w:t>
      </w:r>
      <w:r w:rsidRPr="00594151">
        <w:rPr>
          <w:noProof/>
          <w:sz w:val="20"/>
        </w:rPr>
        <w:tab/>
      </w:r>
      <w:r w:rsidRPr="00594151">
        <w:rPr>
          <w:noProof/>
          <w:sz w:val="20"/>
        </w:rPr>
        <w:fldChar w:fldCharType="begin"/>
      </w:r>
      <w:r w:rsidRPr="00594151">
        <w:rPr>
          <w:noProof/>
          <w:sz w:val="20"/>
        </w:rPr>
        <w:instrText xml:space="preserve"> PAGEREF _Toc367794868 \h </w:instrText>
      </w:r>
      <w:r w:rsidRPr="00594151">
        <w:rPr>
          <w:noProof/>
          <w:sz w:val="20"/>
        </w:rPr>
      </w:r>
      <w:r w:rsidRPr="00594151">
        <w:rPr>
          <w:noProof/>
          <w:sz w:val="20"/>
        </w:rPr>
        <w:fldChar w:fldCharType="separate"/>
      </w:r>
      <w:r w:rsidRPr="00594151">
        <w:rPr>
          <w:noProof/>
          <w:sz w:val="20"/>
        </w:rPr>
        <w:t>35</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25: Výdaje na jednotlivé služby z rozpočtu města Velké Meziříčí.</w:t>
      </w:r>
      <w:r w:rsidRPr="00594151">
        <w:rPr>
          <w:noProof/>
          <w:sz w:val="20"/>
        </w:rPr>
        <w:tab/>
      </w:r>
      <w:r w:rsidRPr="00594151">
        <w:rPr>
          <w:noProof/>
          <w:sz w:val="20"/>
        </w:rPr>
        <w:fldChar w:fldCharType="begin"/>
      </w:r>
      <w:r w:rsidRPr="00594151">
        <w:rPr>
          <w:noProof/>
          <w:sz w:val="20"/>
        </w:rPr>
        <w:instrText xml:space="preserve"> PAGEREF _Toc367794869 \h </w:instrText>
      </w:r>
      <w:r w:rsidRPr="00594151">
        <w:rPr>
          <w:noProof/>
          <w:sz w:val="20"/>
        </w:rPr>
      </w:r>
      <w:r w:rsidRPr="00594151">
        <w:rPr>
          <w:noProof/>
          <w:sz w:val="20"/>
        </w:rPr>
        <w:fldChar w:fldCharType="separate"/>
      </w:r>
      <w:r w:rsidRPr="00594151">
        <w:rPr>
          <w:noProof/>
          <w:sz w:val="20"/>
        </w:rPr>
        <w:t>36</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26: Dotace neziskových organizacím.</w:t>
      </w:r>
      <w:r w:rsidRPr="00594151">
        <w:rPr>
          <w:noProof/>
          <w:sz w:val="20"/>
        </w:rPr>
        <w:tab/>
      </w:r>
      <w:r w:rsidRPr="00594151">
        <w:rPr>
          <w:noProof/>
          <w:sz w:val="20"/>
        </w:rPr>
        <w:fldChar w:fldCharType="begin"/>
      </w:r>
      <w:r w:rsidRPr="00594151">
        <w:rPr>
          <w:noProof/>
          <w:sz w:val="20"/>
        </w:rPr>
        <w:instrText xml:space="preserve"> PAGEREF _Toc367794870 \h </w:instrText>
      </w:r>
      <w:r w:rsidRPr="00594151">
        <w:rPr>
          <w:noProof/>
          <w:sz w:val="20"/>
        </w:rPr>
      </w:r>
      <w:r w:rsidRPr="00594151">
        <w:rPr>
          <w:noProof/>
          <w:sz w:val="20"/>
        </w:rPr>
        <w:fldChar w:fldCharType="separate"/>
      </w:r>
      <w:r w:rsidRPr="00594151">
        <w:rPr>
          <w:noProof/>
          <w:sz w:val="20"/>
        </w:rPr>
        <w:t>37</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27 Financování sociálních služeb ve městě Velké Meziříčí</w:t>
      </w:r>
      <w:r w:rsidRPr="00594151">
        <w:rPr>
          <w:noProof/>
          <w:sz w:val="20"/>
        </w:rPr>
        <w:tab/>
      </w:r>
      <w:r w:rsidRPr="00594151">
        <w:rPr>
          <w:noProof/>
          <w:sz w:val="20"/>
        </w:rPr>
        <w:fldChar w:fldCharType="begin"/>
      </w:r>
      <w:r w:rsidRPr="00594151">
        <w:rPr>
          <w:noProof/>
          <w:sz w:val="20"/>
        </w:rPr>
        <w:instrText xml:space="preserve"> PAGEREF _Toc367794871 \h </w:instrText>
      </w:r>
      <w:r w:rsidRPr="00594151">
        <w:rPr>
          <w:noProof/>
          <w:sz w:val="20"/>
        </w:rPr>
      </w:r>
      <w:r w:rsidRPr="00594151">
        <w:rPr>
          <w:noProof/>
          <w:sz w:val="20"/>
        </w:rPr>
        <w:fldChar w:fldCharType="separate"/>
      </w:r>
      <w:r w:rsidRPr="00594151">
        <w:rPr>
          <w:noProof/>
          <w:sz w:val="20"/>
        </w:rPr>
        <w:t>37</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28: Základní charakteristiky respondentů.</w:t>
      </w:r>
      <w:r w:rsidRPr="00594151">
        <w:rPr>
          <w:noProof/>
          <w:sz w:val="20"/>
        </w:rPr>
        <w:tab/>
      </w:r>
      <w:r w:rsidRPr="00594151">
        <w:rPr>
          <w:noProof/>
          <w:sz w:val="20"/>
        </w:rPr>
        <w:fldChar w:fldCharType="begin"/>
      </w:r>
      <w:r w:rsidRPr="00594151">
        <w:rPr>
          <w:noProof/>
          <w:sz w:val="20"/>
        </w:rPr>
        <w:instrText xml:space="preserve"> PAGEREF _Toc367794872 \h </w:instrText>
      </w:r>
      <w:r w:rsidRPr="00594151">
        <w:rPr>
          <w:noProof/>
          <w:sz w:val="20"/>
        </w:rPr>
      </w:r>
      <w:r w:rsidRPr="00594151">
        <w:rPr>
          <w:noProof/>
          <w:sz w:val="20"/>
        </w:rPr>
        <w:fldChar w:fldCharType="separate"/>
      </w:r>
      <w:r w:rsidRPr="00594151">
        <w:rPr>
          <w:noProof/>
          <w:sz w:val="20"/>
        </w:rPr>
        <w:t>39</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29: Průměrná hodnota spokojenosti s využívanými sociálními službami.</w:t>
      </w:r>
      <w:r w:rsidRPr="00594151">
        <w:rPr>
          <w:noProof/>
          <w:sz w:val="20"/>
        </w:rPr>
        <w:tab/>
      </w:r>
      <w:r w:rsidRPr="00594151">
        <w:rPr>
          <w:noProof/>
          <w:sz w:val="20"/>
        </w:rPr>
        <w:fldChar w:fldCharType="begin"/>
      </w:r>
      <w:r w:rsidRPr="00594151">
        <w:rPr>
          <w:noProof/>
          <w:sz w:val="20"/>
        </w:rPr>
        <w:instrText xml:space="preserve"> PAGEREF _Toc367794873 \h </w:instrText>
      </w:r>
      <w:r w:rsidRPr="00594151">
        <w:rPr>
          <w:noProof/>
          <w:sz w:val="20"/>
        </w:rPr>
      </w:r>
      <w:r w:rsidRPr="00594151">
        <w:rPr>
          <w:noProof/>
          <w:sz w:val="20"/>
        </w:rPr>
        <w:fldChar w:fldCharType="separate"/>
      </w:r>
      <w:r w:rsidRPr="00594151">
        <w:rPr>
          <w:noProof/>
          <w:sz w:val="20"/>
        </w:rPr>
        <w:t>42</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30: Směřování žádosti o pomoc v případě nemožnosti postarat se sám o sebe.</w:t>
      </w:r>
      <w:r w:rsidRPr="00594151">
        <w:rPr>
          <w:noProof/>
          <w:sz w:val="20"/>
        </w:rPr>
        <w:tab/>
      </w:r>
      <w:r w:rsidRPr="00594151">
        <w:rPr>
          <w:noProof/>
          <w:sz w:val="20"/>
        </w:rPr>
        <w:fldChar w:fldCharType="begin"/>
      </w:r>
      <w:r w:rsidRPr="00594151">
        <w:rPr>
          <w:noProof/>
          <w:sz w:val="20"/>
        </w:rPr>
        <w:instrText xml:space="preserve"> PAGEREF _Toc367794874 \h </w:instrText>
      </w:r>
      <w:r w:rsidRPr="00594151">
        <w:rPr>
          <w:noProof/>
          <w:sz w:val="20"/>
        </w:rPr>
      </w:r>
      <w:r w:rsidRPr="00594151">
        <w:rPr>
          <w:noProof/>
          <w:sz w:val="20"/>
        </w:rPr>
        <w:fldChar w:fldCharType="separate"/>
      </w:r>
      <w:r w:rsidRPr="00594151">
        <w:rPr>
          <w:noProof/>
          <w:sz w:val="20"/>
        </w:rPr>
        <w:t>43</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31: Druhy pomoci, které by pomohli usnadnit život.</w:t>
      </w:r>
      <w:r w:rsidRPr="00594151">
        <w:rPr>
          <w:noProof/>
          <w:sz w:val="20"/>
        </w:rPr>
        <w:tab/>
      </w:r>
      <w:r w:rsidRPr="00594151">
        <w:rPr>
          <w:noProof/>
          <w:sz w:val="20"/>
        </w:rPr>
        <w:fldChar w:fldCharType="begin"/>
      </w:r>
      <w:r w:rsidRPr="00594151">
        <w:rPr>
          <w:noProof/>
          <w:sz w:val="20"/>
        </w:rPr>
        <w:instrText xml:space="preserve"> PAGEREF _Toc367794875 \h </w:instrText>
      </w:r>
      <w:r w:rsidRPr="00594151">
        <w:rPr>
          <w:noProof/>
          <w:sz w:val="20"/>
        </w:rPr>
      </w:r>
      <w:r w:rsidRPr="00594151">
        <w:rPr>
          <w:noProof/>
          <w:sz w:val="20"/>
        </w:rPr>
        <w:fldChar w:fldCharType="separate"/>
      </w:r>
      <w:r w:rsidRPr="00594151">
        <w:rPr>
          <w:noProof/>
          <w:sz w:val="20"/>
        </w:rPr>
        <w:t>47</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32: Základní charakteristiky respondentů.</w:t>
      </w:r>
      <w:r w:rsidRPr="00594151">
        <w:rPr>
          <w:noProof/>
          <w:sz w:val="20"/>
        </w:rPr>
        <w:tab/>
      </w:r>
      <w:r w:rsidRPr="00594151">
        <w:rPr>
          <w:noProof/>
          <w:sz w:val="20"/>
        </w:rPr>
        <w:fldChar w:fldCharType="begin"/>
      </w:r>
      <w:r w:rsidRPr="00594151">
        <w:rPr>
          <w:noProof/>
          <w:sz w:val="20"/>
        </w:rPr>
        <w:instrText xml:space="preserve"> PAGEREF _Toc367794876 \h </w:instrText>
      </w:r>
      <w:r w:rsidRPr="00594151">
        <w:rPr>
          <w:noProof/>
          <w:sz w:val="20"/>
        </w:rPr>
      </w:r>
      <w:r w:rsidRPr="00594151">
        <w:rPr>
          <w:noProof/>
          <w:sz w:val="20"/>
        </w:rPr>
        <w:fldChar w:fldCharType="separate"/>
      </w:r>
      <w:r w:rsidRPr="00594151">
        <w:rPr>
          <w:noProof/>
          <w:sz w:val="20"/>
        </w:rPr>
        <w:t>49</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33: Průměrná hodnota spokojenosti s využívanými sociálními službami.</w:t>
      </w:r>
      <w:r w:rsidRPr="00594151">
        <w:rPr>
          <w:noProof/>
          <w:sz w:val="20"/>
        </w:rPr>
        <w:tab/>
      </w:r>
      <w:r w:rsidRPr="00594151">
        <w:rPr>
          <w:noProof/>
          <w:sz w:val="20"/>
        </w:rPr>
        <w:fldChar w:fldCharType="begin"/>
      </w:r>
      <w:r w:rsidRPr="00594151">
        <w:rPr>
          <w:noProof/>
          <w:sz w:val="20"/>
        </w:rPr>
        <w:instrText xml:space="preserve"> PAGEREF _Toc367794877 \h </w:instrText>
      </w:r>
      <w:r w:rsidRPr="00594151">
        <w:rPr>
          <w:noProof/>
          <w:sz w:val="20"/>
        </w:rPr>
      </w:r>
      <w:r w:rsidRPr="00594151">
        <w:rPr>
          <w:noProof/>
          <w:sz w:val="20"/>
        </w:rPr>
        <w:fldChar w:fldCharType="separate"/>
      </w:r>
      <w:r w:rsidRPr="00594151">
        <w:rPr>
          <w:noProof/>
          <w:sz w:val="20"/>
        </w:rPr>
        <w:t>51</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34: Směřování žádosti o pomoc v případě nemožnosti postarat se sám o sebe.</w:t>
      </w:r>
      <w:r w:rsidRPr="00594151">
        <w:rPr>
          <w:noProof/>
          <w:sz w:val="20"/>
        </w:rPr>
        <w:tab/>
      </w:r>
      <w:r w:rsidRPr="00594151">
        <w:rPr>
          <w:noProof/>
          <w:sz w:val="20"/>
        </w:rPr>
        <w:fldChar w:fldCharType="begin"/>
      </w:r>
      <w:r w:rsidRPr="00594151">
        <w:rPr>
          <w:noProof/>
          <w:sz w:val="20"/>
        </w:rPr>
        <w:instrText xml:space="preserve"> PAGEREF _Toc367794878 \h </w:instrText>
      </w:r>
      <w:r w:rsidRPr="00594151">
        <w:rPr>
          <w:noProof/>
          <w:sz w:val="20"/>
        </w:rPr>
      </w:r>
      <w:r w:rsidRPr="00594151">
        <w:rPr>
          <w:noProof/>
          <w:sz w:val="20"/>
        </w:rPr>
        <w:fldChar w:fldCharType="separate"/>
      </w:r>
      <w:r w:rsidRPr="00594151">
        <w:rPr>
          <w:noProof/>
          <w:sz w:val="20"/>
        </w:rPr>
        <w:t>52</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35: Druhy pomoci, které by pomohli usnadnit život.</w:t>
      </w:r>
      <w:r w:rsidRPr="00594151">
        <w:rPr>
          <w:noProof/>
          <w:sz w:val="20"/>
        </w:rPr>
        <w:tab/>
      </w:r>
      <w:r w:rsidRPr="00594151">
        <w:rPr>
          <w:noProof/>
          <w:sz w:val="20"/>
        </w:rPr>
        <w:fldChar w:fldCharType="begin"/>
      </w:r>
      <w:r w:rsidRPr="00594151">
        <w:rPr>
          <w:noProof/>
          <w:sz w:val="20"/>
        </w:rPr>
        <w:instrText xml:space="preserve"> PAGEREF _Toc367794879 \h </w:instrText>
      </w:r>
      <w:r w:rsidRPr="00594151">
        <w:rPr>
          <w:noProof/>
          <w:sz w:val="20"/>
        </w:rPr>
      </w:r>
      <w:r w:rsidRPr="00594151">
        <w:rPr>
          <w:noProof/>
          <w:sz w:val="20"/>
        </w:rPr>
        <w:fldChar w:fldCharType="separate"/>
      </w:r>
      <w:r w:rsidRPr="00594151">
        <w:rPr>
          <w:noProof/>
          <w:sz w:val="20"/>
        </w:rPr>
        <w:t>57</w:t>
      </w:r>
      <w:r w:rsidRPr="00594151">
        <w:rPr>
          <w:noProof/>
          <w:sz w:val="20"/>
        </w:rPr>
        <w:fldChar w:fldCharType="end"/>
      </w:r>
    </w:p>
    <w:p w:rsidR="00594151" w:rsidRPr="00594151" w:rsidRDefault="00594151">
      <w:pPr>
        <w:pStyle w:val="Seznamobrzk"/>
        <w:tabs>
          <w:tab w:val="right" w:leader="dot" w:pos="9062"/>
        </w:tabs>
        <w:rPr>
          <w:rFonts w:asciiTheme="minorHAnsi" w:eastAsiaTheme="minorEastAsia" w:hAnsiTheme="minorHAnsi"/>
          <w:noProof/>
          <w:sz w:val="18"/>
          <w:lang w:eastAsia="cs-CZ"/>
        </w:rPr>
      </w:pPr>
      <w:r w:rsidRPr="00594151">
        <w:rPr>
          <w:noProof/>
          <w:sz w:val="20"/>
        </w:rPr>
        <w:t>Tabulka č. 36: Druhy pomoci od proškoleného a zacvičeného dobrovolníka.</w:t>
      </w:r>
      <w:r w:rsidRPr="00594151">
        <w:rPr>
          <w:noProof/>
          <w:sz w:val="20"/>
        </w:rPr>
        <w:tab/>
      </w:r>
      <w:r w:rsidRPr="00594151">
        <w:rPr>
          <w:noProof/>
          <w:sz w:val="20"/>
        </w:rPr>
        <w:fldChar w:fldCharType="begin"/>
      </w:r>
      <w:r w:rsidRPr="00594151">
        <w:rPr>
          <w:noProof/>
          <w:sz w:val="20"/>
        </w:rPr>
        <w:instrText xml:space="preserve"> PAGEREF _Toc367794880 \h </w:instrText>
      </w:r>
      <w:r w:rsidRPr="00594151">
        <w:rPr>
          <w:noProof/>
          <w:sz w:val="20"/>
        </w:rPr>
      </w:r>
      <w:r w:rsidRPr="00594151">
        <w:rPr>
          <w:noProof/>
          <w:sz w:val="20"/>
        </w:rPr>
        <w:fldChar w:fldCharType="separate"/>
      </w:r>
      <w:r w:rsidRPr="00594151">
        <w:rPr>
          <w:noProof/>
          <w:sz w:val="20"/>
        </w:rPr>
        <w:t>58</w:t>
      </w:r>
      <w:r w:rsidRPr="00594151">
        <w:rPr>
          <w:noProof/>
          <w:sz w:val="20"/>
        </w:rPr>
        <w:fldChar w:fldCharType="end"/>
      </w:r>
    </w:p>
    <w:p w:rsidR="00352DD0" w:rsidRPr="00352DD0" w:rsidRDefault="00352DD0" w:rsidP="00352DD0">
      <w:r w:rsidRPr="00352DD0">
        <w:rPr>
          <w:sz w:val="20"/>
          <w:szCs w:val="20"/>
        </w:rPr>
        <w:fldChar w:fldCharType="end"/>
      </w:r>
    </w:p>
    <w:sectPr w:rsidR="00352DD0" w:rsidRPr="00352DD0" w:rsidSect="00F3551D">
      <w:headerReference w:type="default" r:id="rId80"/>
      <w:footerReference w:type="default" r:id="rId8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2DB" w:rsidRDefault="00D822DB" w:rsidP="00DE0F44">
      <w:pPr>
        <w:spacing w:before="0"/>
      </w:pPr>
      <w:r>
        <w:separator/>
      </w:r>
    </w:p>
  </w:endnote>
  <w:endnote w:type="continuationSeparator" w:id="0">
    <w:p w:rsidR="00D822DB" w:rsidRDefault="00D822DB" w:rsidP="00DE0F4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2DB" w:rsidRDefault="00D822DB" w:rsidP="00F3551D">
    <w:pPr>
      <w:pStyle w:val="Zpat"/>
      <w:pBdr>
        <w:top w:val="single" w:sz="4" w:space="0" w:color="000000"/>
      </w:pBdr>
      <w:ind w:right="360"/>
      <w:rPr>
        <w:rFonts w:cs="Arial"/>
        <w:b/>
        <w:sz w:val="16"/>
        <w:szCs w:val="16"/>
      </w:rPr>
    </w:pPr>
    <w:r>
      <w:rPr>
        <w:noProof/>
        <w:lang w:eastAsia="cs-CZ"/>
      </w:rPr>
      <w:drawing>
        <wp:anchor distT="0" distB="0" distL="114935" distR="114935" simplePos="0" relativeHeight="251659264" behindDoc="0" locked="0" layoutInCell="1" allowOverlap="1" wp14:anchorId="66D43B8D" wp14:editId="76FD7C6B">
          <wp:simplePos x="0" y="0"/>
          <wp:positionH relativeFrom="column">
            <wp:posOffset>-219710</wp:posOffset>
          </wp:positionH>
          <wp:positionV relativeFrom="paragraph">
            <wp:posOffset>150495</wp:posOffset>
          </wp:positionV>
          <wp:extent cx="570230" cy="341630"/>
          <wp:effectExtent l="0" t="0" r="1270" b="1270"/>
          <wp:wrapNone/>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230" cy="341630"/>
                  </a:xfrm>
                  <a:prstGeom prst="rect">
                    <a:avLst/>
                  </a:prstGeom>
                  <a:solidFill>
                    <a:srgbClr val="FFFFFF"/>
                  </a:solidFill>
                  <a:ln>
                    <a:noFill/>
                  </a:ln>
                </pic:spPr>
              </pic:pic>
            </a:graphicData>
          </a:graphic>
        </wp:anchor>
      </w:drawing>
    </w:r>
    <w:r>
      <w:rPr>
        <w:rFonts w:cs="Arial"/>
        <w:b/>
        <w:sz w:val="16"/>
        <w:szCs w:val="16"/>
      </w:rPr>
      <w:t xml:space="preserve">                        </w:t>
    </w:r>
  </w:p>
  <w:p w:rsidR="00D822DB" w:rsidRDefault="00D822DB" w:rsidP="00F3551D">
    <w:pPr>
      <w:pStyle w:val="Zpat"/>
      <w:pBdr>
        <w:top w:val="single" w:sz="4" w:space="0" w:color="000000"/>
      </w:pBdr>
      <w:ind w:right="360" w:firstLine="708"/>
      <w:rPr>
        <w:rFonts w:cs="Arial"/>
        <w:sz w:val="16"/>
        <w:szCs w:val="16"/>
      </w:rPr>
    </w:pPr>
    <w:r>
      <w:rPr>
        <w:rFonts w:cs="Arial"/>
        <w:b/>
        <w:sz w:val="16"/>
        <w:szCs w:val="16"/>
      </w:rPr>
      <w:t>AUGUR Consulting s.r.o.,</w:t>
    </w:r>
    <w:r>
      <w:rPr>
        <w:rFonts w:cs="Arial"/>
        <w:sz w:val="16"/>
        <w:szCs w:val="16"/>
      </w:rPr>
      <w:t xml:space="preserve"> Vinařská 5/A1, 603 00 Brno, tel.: +420 543 242 595, www.augur-consulting.cz   </w:t>
    </w:r>
  </w:p>
  <w:p w:rsidR="00D822DB" w:rsidRDefault="00D822DB" w:rsidP="00F3551D">
    <w:pPr>
      <w:pStyle w:val="Zpat"/>
      <w:pBdr>
        <w:top w:val="single" w:sz="4" w:space="0" w:color="000000"/>
      </w:pBdr>
      <w:ind w:right="360"/>
      <w:rPr>
        <w:rFonts w:cs="Arial"/>
        <w:sz w:val="16"/>
        <w:szCs w:val="16"/>
      </w:rPr>
    </w:pPr>
    <w:r>
      <w:rPr>
        <w:rFonts w:cs="Arial"/>
        <w:sz w:val="16"/>
        <w:szCs w:val="16"/>
      </w:rPr>
      <w:t xml:space="preserve">                                                             </w:t>
    </w:r>
  </w:p>
  <w:p w:rsidR="00D822DB" w:rsidRDefault="00D822DB" w:rsidP="00F3551D">
    <w:pPr>
      <w:pStyle w:val="Zpat"/>
      <w:jc w:val="right"/>
    </w:pPr>
    <w:r>
      <w:fldChar w:fldCharType="begin"/>
    </w:r>
    <w:r>
      <w:instrText>PAGE   \* MERGEFORMAT</w:instrText>
    </w:r>
    <w:r>
      <w:fldChar w:fldCharType="separate"/>
    </w:r>
    <w:r w:rsidR="00EE3646">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2DB" w:rsidRDefault="00D822DB" w:rsidP="00DE0F44">
      <w:pPr>
        <w:spacing w:before="0"/>
      </w:pPr>
      <w:r>
        <w:separator/>
      </w:r>
    </w:p>
  </w:footnote>
  <w:footnote w:type="continuationSeparator" w:id="0">
    <w:p w:rsidR="00D822DB" w:rsidRDefault="00D822DB" w:rsidP="00DE0F44">
      <w:pPr>
        <w:spacing w:before="0"/>
      </w:pPr>
      <w:r>
        <w:continuationSeparator/>
      </w:r>
    </w:p>
  </w:footnote>
  <w:footnote w:id="1">
    <w:p w:rsidR="00D822DB" w:rsidRDefault="00D822DB">
      <w:pPr>
        <w:pStyle w:val="Textpoznpodarou"/>
      </w:pPr>
      <w:r>
        <w:rPr>
          <w:rStyle w:val="Znakapoznpodarou"/>
        </w:rPr>
        <w:footnoteRef/>
      </w:r>
      <w:r>
        <w:t xml:space="preserve"> V rámci procesu komunitního plánování sociálních služeb mohou být tyto analýzy uskutečněny po linii konkrétních osob působících v příslušných pracovních skupinách. </w:t>
      </w:r>
    </w:p>
  </w:footnote>
  <w:footnote w:id="2">
    <w:p w:rsidR="00D822DB" w:rsidRDefault="00D822DB">
      <w:pPr>
        <w:pStyle w:val="Textpoznpodarou"/>
      </w:pPr>
      <w:r>
        <w:rPr>
          <w:rStyle w:val="Znakapoznpodarou"/>
        </w:rPr>
        <w:footnoteRef/>
      </w:r>
      <w:r>
        <w:t xml:space="preserve"> Senioři a osoby se zdravotním postižením.</w:t>
      </w:r>
    </w:p>
  </w:footnote>
  <w:footnote w:id="3">
    <w:p w:rsidR="00D822DB" w:rsidRDefault="00D822DB">
      <w:pPr>
        <w:pStyle w:val="Textpoznpodarou"/>
      </w:pPr>
      <w:r>
        <w:rPr>
          <w:rStyle w:val="Znakapoznpodarou"/>
        </w:rPr>
        <w:footnoteRef/>
      </w:r>
      <w:r>
        <w:t xml:space="preserve"> </w:t>
      </w:r>
      <w:r w:rsidRPr="00863FF2">
        <w:rPr>
          <w:sz w:val="16"/>
        </w:rPr>
        <w:t>BAVALOVÁ, Petra. Komparace vnitřní migrace ČR a vybraných zemí EU [online]. 2013 [cit. 2013-09-12]. Diplomová práce. Masarykova univerzita, Ekonomicko-správní fakulta. Vedoucí práce Monika Jandová. Dostupné z: &lt;http://is.muni.cz/th/401270/esf_m/&gt;</w:t>
      </w:r>
    </w:p>
  </w:footnote>
  <w:footnote w:id="4">
    <w:p w:rsidR="00D822DB" w:rsidRPr="007A4CC0" w:rsidRDefault="00D822DB" w:rsidP="000E4504">
      <w:pPr>
        <w:pStyle w:val="Textpoznpodarou"/>
        <w:spacing w:before="0"/>
        <w:rPr>
          <w:sz w:val="16"/>
          <w:szCs w:val="16"/>
        </w:rPr>
      </w:pPr>
      <w:r w:rsidRPr="007A4CC0">
        <w:rPr>
          <w:rStyle w:val="Znakapoznpodarou"/>
          <w:sz w:val="16"/>
          <w:szCs w:val="16"/>
        </w:rPr>
        <w:footnoteRef/>
      </w:r>
      <w:r w:rsidRPr="007A4CC0">
        <w:rPr>
          <w:sz w:val="16"/>
          <w:szCs w:val="16"/>
        </w:rPr>
        <w:t xml:space="preserve"> Zdroj dat: Český statistický úřad</w:t>
      </w:r>
      <w:r>
        <w:rPr>
          <w:sz w:val="16"/>
          <w:szCs w:val="16"/>
        </w:rPr>
        <w:t>.</w:t>
      </w:r>
    </w:p>
  </w:footnote>
  <w:footnote w:id="5">
    <w:p w:rsidR="00D822DB" w:rsidRDefault="00D822DB" w:rsidP="000E4504">
      <w:pPr>
        <w:pStyle w:val="Textpoznpodarou"/>
        <w:spacing w:before="0"/>
      </w:pPr>
      <w:r w:rsidRPr="000615D5">
        <w:rPr>
          <w:rStyle w:val="Znakapoznpodarou"/>
          <w:sz w:val="16"/>
        </w:rPr>
        <w:footnoteRef/>
      </w:r>
      <w:r>
        <w:rPr>
          <w:sz w:val="16"/>
        </w:rPr>
        <w:t xml:space="preserve"> Zdroj dat</w:t>
      </w:r>
      <w:r w:rsidRPr="000615D5">
        <w:rPr>
          <w:sz w:val="16"/>
        </w:rPr>
        <w:t>: Český statistický úřad</w:t>
      </w:r>
      <w:r>
        <w:rPr>
          <w:sz w:val="16"/>
        </w:rPr>
        <w:t>.</w:t>
      </w:r>
    </w:p>
  </w:footnote>
  <w:footnote w:id="6">
    <w:p w:rsidR="00D822DB" w:rsidRDefault="00D822DB" w:rsidP="000E4504">
      <w:pPr>
        <w:pStyle w:val="Textpoznpodarou"/>
        <w:spacing w:before="0"/>
      </w:pPr>
      <w:r w:rsidRPr="007A4CC0">
        <w:rPr>
          <w:rStyle w:val="Znakapoznpodarou"/>
          <w:sz w:val="16"/>
          <w:szCs w:val="16"/>
        </w:rPr>
        <w:footnoteRef/>
      </w:r>
      <w:r w:rsidRPr="007A4CC0">
        <w:rPr>
          <w:sz w:val="16"/>
          <w:szCs w:val="16"/>
        </w:rPr>
        <w:t xml:space="preserve"> Zdroj dat: Český statistický úřad</w:t>
      </w:r>
      <w:r>
        <w:rPr>
          <w:sz w:val="16"/>
          <w:szCs w:val="16"/>
        </w:rPr>
        <w:t>.</w:t>
      </w:r>
    </w:p>
  </w:footnote>
  <w:footnote w:id="7">
    <w:p w:rsidR="00D822DB" w:rsidRPr="00C07FDD" w:rsidRDefault="00D822DB">
      <w:pPr>
        <w:pStyle w:val="Textpoznpodarou"/>
        <w:rPr>
          <w:sz w:val="16"/>
        </w:rPr>
      </w:pPr>
      <w:r w:rsidRPr="00C07FDD">
        <w:rPr>
          <w:rStyle w:val="Znakapoznpodarou"/>
          <w:sz w:val="16"/>
        </w:rPr>
        <w:footnoteRef/>
      </w:r>
      <w:r w:rsidRPr="00C07FDD">
        <w:rPr>
          <w:sz w:val="16"/>
        </w:rPr>
        <w:t xml:space="preserve"> Zákon č. 329/2011 Sb., o poskytování dávek osobám se zdravotním postižením a o změně souvisejících zákonů</w:t>
      </w:r>
    </w:p>
  </w:footnote>
  <w:footnote w:id="8">
    <w:p w:rsidR="00D822DB" w:rsidRDefault="00D822DB">
      <w:pPr>
        <w:pStyle w:val="Textpoznpodarou"/>
      </w:pPr>
      <w:r w:rsidRPr="00C07FDD">
        <w:rPr>
          <w:rStyle w:val="Znakapoznpodarou"/>
          <w:sz w:val="16"/>
        </w:rPr>
        <w:footnoteRef/>
      </w:r>
      <w:r w:rsidRPr="00C07FDD">
        <w:rPr>
          <w:sz w:val="16"/>
        </w:rPr>
        <w:t xml:space="preserve"> Zákon č. 108/2006 Sb., o sociálních službách</w:t>
      </w:r>
    </w:p>
  </w:footnote>
  <w:footnote w:id="9">
    <w:p w:rsidR="00D822DB" w:rsidRDefault="00D822DB">
      <w:pPr>
        <w:pStyle w:val="Textpoznpodarou"/>
      </w:pPr>
      <w:r w:rsidRPr="00306E2D">
        <w:rPr>
          <w:rStyle w:val="Znakapoznpodarou"/>
          <w:sz w:val="16"/>
        </w:rPr>
        <w:footnoteRef/>
      </w:r>
      <w:r w:rsidRPr="00306E2D">
        <w:rPr>
          <w:sz w:val="16"/>
        </w:rPr>
        <w:t xml:space="preserve"> Zákon č. 329/2011 Sb., o poskytování dávek osobám se zdravotním postižením a o změně souvisejících zákonů</w:t>
      </w:r>
    </w:p>
  </w:footnote>
  <w:footnote w:id="10">
    <w:p w:rsidR="00D822DB" w:rsidRDefault="00D822DB" w:rsidP="007A4C99">
      <w:pPr>
        <w:pStyle w:val="Textpoznpodarou"/>
      </w:pPr>
      <w:r w:rsidRPr="00C50D06">
        <w:rPr>
          <w:rStyle w:val="Znakapoznpodarou"/>
          <w:sz w:val="16"/>
        </w:rPr>
        <w:footnoteRef/>
      </w:r>
      <w:r w:rsidRPr="00C50D06">
        <w:rPr>
          <w:sz w:val="16"/>
        </w:rPr>
        <w:t xml:space="preserve"> Centrum Kociánka je možné zařadit jak do služeb sociální péče, tak do služeb sociální prevence. </w:t>
      </w:r>
    </w:p>
  </w:footnote>
  <w:footnote w:id="11">
    <w:p w:rsidR="00D822DB" w:rsidRDefault="00D822DB">
      <w:pPr>
        <w:pStyle w:val="Textpoznpodarou"/>
      </w:pPr>
      <w:r>
        <w:rPr>
          <w:rStyle w:val="Znakapoznpodarou"/>
        </w:rPr>
        <w:footnoteRef/>
      </w:r>
      <w:r>
        <w:t xml:space="preserve"> Zdrojem dat bylo město Velké Meziříčí.</w:t>
      </w:r>
    </w:p>
  </w:footnote>
  <w:footnote w:id="12">
    <w:p w:rsidR="00D822DB" w:rsidRDefault="00D822DB" w:rsidP="00884916">
      <w:pPr>
        <w:pStyle w:val="Textpoznpodarou"/>
      </w:pPr>
      <w:r>
        <w:rPr>
          <w:rStyle w:val="Znakapoznpodarou"/>
        </w:rPr>
        <w:footnoteRef/>
      </w:r>
      <w:r>
        <w:t xml:space="preserve"> Senioři a osoby se zdravotním postižením.</w:t>
      </w:r>
    </w:p>
  </w:footnote>
  <w:footnote w:id="13">
    <w:p w:rsidR="00D822DB" w:rsidRDefault="00D822DB" w:rsidP="00884916">
      <w:pPr>
        <w:pStyle w:val="Textpoznpodarou"/>
      </w:pPr>
      <w:r w:rsidRPr="00C50D06">
        <w:rPr>
          <w:rStyle w:val="Znakapoznpodarou"/>
          <w:sz w:val="16"/>
        </w:rPr>
        <w:footnoteRef/>
      </w:r>
      <w:r w:rsidRPr="00C50D06">
        <w:rPr>
          <w:sz w:val="16"/>
        </w:rPr>
        <w:t xml:space="preserve"> Centrum Kociánka je možné zařadit jak do služeb sociální péče, tak do služeb sociální prevence.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2DB" w:rsidRDefault="00D822DB" w:rsidP="007D3210">
    <w:pPr>
      <w:pStyle w:val="Zhlav"/>
      <w:jc w:val="center"/>
      <w:rPr>
        <w:b/>
        <w:sz w:val="18"/>
        <w:u w:val="single"/>
      </w:rPr>
    </w:pPr>
    <w:r>
      <w:rPr>
        <w:noProof/>
        <w:lang w:eastAsia="cs-CZ"/>
      </w:rPr>
      <w:drawing>
        <wp:anchor distT="0" distB="0" distL="114300" distR="114300" simplePos="0" relativeHeight="251661312" behindDoc="0" locked="0" layoutInCell="1" allowOverlap="1" wp14:anchorId="5E837D2E" wp14:editId="756625C0">
          <wp:simplePos x="0" y="0"/>
          <wp:positionH relativeFrom="margin">
            <wp:posOffset>220345</wp:posOffset>
          </wp:positionH>
          <wp:positionV relativeFrom="margin">
            <wp:posOffset>-699135</wp:posOffset>
          </wp:positionV>
          <wp:extent cx="467360" cy="513080"/>
          <wp:effectExtent l="0" t="0" r="8890" b="1270"/>
          <wp:wrapSquare wrapText="bothSides"/>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ED5">
      <w:rPr>
        <w:sz w:val="18"/>
      </w:rPr>
      <w:t>ZÁVĚREČNÁ ZPRÁVA</w:t>
    </w:r>
    <w:r>
      <w:rPr>
        <w:sz w:val="18"/>
      </w:rPr>
      <w:t xml:space="preserve">: </w:t>
    </w:r>
    <w:r w:rsidRPr="00BF0ED5">
      <w:rPr>
        <w:sz w:val="18"/>
        <w:u w:val="single"/>
      </w:rPr>
      <w:t>„</w:t>
    </w:r>
    <w:r w:rsidRPr="007D3210">
      <w:rPr>
        <w:b/>
        <w:sz w:val="18"/>
      </w:rPr>
      <w:t>Analýzy v sociální oblasti jako podklad</w:t>
    </w:r>
    <w:r>
      <w:rPr>
        <w:b/>
        <w:sz w:val="18"/>
        <w:u w:val="single"/>
      </w:rPr>
      <w:t xml:space="preserve"> </w:t>
    </w:r>
  </w:p>
  <w:p w:rsidR="00D822DB" w:rsidRDefault="00D822DB" w:rsidP="007D3210">
    <w:pPr>
      <w:pStyle w:val="Zhlav"/>
      <w:pBdr>
        <w:bottom w:val="single" w:sz="6" w:space="1" w:color="auto"/>
      </w:pBdr>
      <w:jc w:val="center"/>
      <w:rPr>
        <w:b/>
        <w:sz w:val="18"/>
      </w:rPr>
    </w:pPr>
    <w:r w:rsidRPr="007D3210">
      <w:rPr>
        <w:b/>
        <w:sz w:val="18"/>
      </w:rPr>
      <w:t>pro střednědobý plán rozvoje sociálních služeb ve městě Velké Meziříčí“</w:t>
    </w:r>
  </w:p>
  <w:p w:rsidR="00D822DB" w:rsidRPr="007D3210" w:rsidRDefault="00D822DB" w:rsidP="007D3210">
    <w:pPr>
      <w:pStyle w:val="Zhlav"/>
      <w:jc w:val="center"/>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33F5"/>
    <w:multiLevelType w:val="hybridMultilevel"/>
    <w:tmpl w:val="FF18E1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242E2C"/>
    <w:multiLevelType w:val="hybridMultilevel"/>
    <w:tmpl w:val="FB186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AD831B4"/>
    <w:multiLevelType w:val="hybridMultilevel"/>
    <w:tmpl w:val="EFFE99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FF6000E"/>
    <w:multiLevelType w:val="hybridMultilevel"/>
    <w:tmpl w:val="9A4CF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2CC5C57"/>
    <w:multiLevelType w:val="hybridMultilevel"/>
    <w:tmpl w:val="5ACE2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8A6503E"/>
    <w:multiLevelType w:val="hybridMultilevel"/>
    <w:tmpl w:val="438472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2A24BF5"/>
    <w:multiLevelType w:val="hybridMultilevel"/>
    <w:tmpl w:val="69962E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E8A25DB"/>
    <w:multiLevelType w:val="hybridMultilevel"/>
    <w:tmpl w:val="09E2A5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EE94E30"/>
    <w:multiLevelType w:val="hybridMultilevel"/>
    <w:tmpl w:val="8CBC78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1DD255A"/>
    <w:multiLevelType w:val="hybridMultilevel"/>
    <w:tmpl w:val="71EA90C8"/>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10">
    <w:nsid w:val="380148A7"/>
    <w:multiLevelType w:val="hybridMultilevel"/>
    <w:tmpl w:val="E1700A2E"/>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11">
    <w:nsid w:val="386B198B"/>
    <w:multiLevelType w:val="multilevel"/>
    <w:tmpl w:val="5ED6B9A0"/>
    <w:lvl w:ilvl="0">
      <w:start w:val="1"/>
      <w:numFmt w:val="none"/>
      <w:pStyle w:val="Nadpis1"/>
      <w:lvlText w:val="%1"/>
      <w:lvlJc w:val="left"/>
      <w:pPr>
        <w:ind w:left="360" w:hanging="360"/>
      </w:pPr>
      <w:rPr>
        <w:rFonts w:hint="default"/>
      </w:rPr>
    </w:lvl>
    <w:lvl w:ilvl="1">
      <w:start w:val="1"/>
      <w:numFmt w:val="upperLetter"/>
      <w:pStyle w:val="Nadpis2"/>
      <w:lvlText w:val="%2."/>
      <w:lvlJc w:val="left"/>
      <w:pPr>
        <w:ind w:left="720" w:hanging="360"/>
      </w:pPr>
      <w:rPr>
        <w:rFonts w:hint="default"/>
      </w:rPr>
    </w:lvl>
    <w:lvl w:ilvl="2">
      <w:start w:val="1"/>
      <w:numFmt w:val="decimal"/>
      <w:pStyle w:val="Nadpis3"/>
      <w:lvlText w:val="%2. %3. "/>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89973BD"/>
    <w:multiLevelType w:val="hybridMultilevel"/>
    <w:tmpl w:val="6DACBB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8E73CC2"/>
    <w:multiLevelType w:val="hybridMultilevel"/>
    <w:tmpl w:val="4BA45E2E"/>
    <w:lvl w:ilvl="0" w:tplc="CA90A528">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9ED6887"/>
    <w:multiLevelType w:val="hybridMultilevel"/>
    <w:tmpl w:val="914811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B84087D"/>
    <w:multiLevelType w:val="hybridMultilevel"/>
    <w:tmpl w:val="86FA9A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D216B18"/>
    <w:multiLevelType w:val="hybridMultilevel"/>
    <w:tmpl w:val="764827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1C96BB8"/>
    <w:multiLevelType w:val="hybridMultilevel"/>
    <w:tmpl w:val="6F628062"/>
    <w:lvl w:ilvl="0" w:tplc="D1C4EF9C">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18">
    <w:nsid w:val="41FA605D"/>
    <w:multiLevelType w:val="hybridMultilevel"/>
    <w:tmpl w:val="14AA2A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53C5CB2"/>
    <w:multiLevelType w:val="hybridMultilevel"/>
    <w:tmpl w:val="AF9A2B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5D662B3"/>
    <w:multiLevelType w:val="hybridMultilevel"/>
    <w:tmpl w:val="55EA6888"/>
    <w:lvl w:ilvl="0" w:tplc="C918418A">
      <w:start w:val="1"/>
      <w:numFmt w:val="decimal"/>
      <w:lvlText w:val="%1."/>
      <w:lvlJc w:val="left"/>
      <w:pPr>
        <w:tabs>
          <w:tab w:val="num" w:pos="720"/>
        </w:tabs>
        <w:ind w:left="720" w:hanging="360"/>
      </w:pPr>
    </w:lvl>
    <w:lvl w:ilvl="1" w:tplc="B664A01E" w:tentative="1">
      <w:start w:val="1"/>
      <w:numFmt w:val="decimal"/>
      <w:lvlText w:val="%2."/>
      <w:lvlJc w:val="left"/>
      <w:pPr>
        <w:tabs>
          <w:tab w:val="num" w:pos="1440"/>
        </w:tabs>
        <w:ind w:left="1440" w:hanging="360"/>
      </w:pPr>
    </w:lvl>
    <w:lvl w:ilvl="2" w:tplc="36AA7542">
      <w:start w:val="1"/>
      <w:numFmt w:val="decimal"/>
      <w:lvlText w:val="%3."/>
      <w:lvlJc w:val="left"/>
      <w:pPr>
        <w:tabs>
          <w:tab w:val="num" w:pos="2160"/>
        </w:tabs>
        <w:ind w:left="2160" w:hanging="360"/>
      </w:pPr>
    </w:lvl>
    <w:lvl w:ilvl="3" w:tplc="E2BABA44">
      <w:start w:val="692"/>
      <w:numFmt w:val="bullet"/>
      <w:lvlText w:val="•"/>
      <w:lvlJc w:val="left"/>
      <w:pPr>
        <w:tabs>
          <w:tab w:val="num" w:pos="2880"/>
        </w:tabs>
        <w:ind w:left="2880" w:hanging="360"/>
      </w:pPr>
      <w:rPr>
        <w:rFonts w:ascii="Arial" w:hAnsi="Arial" w:hint="default"/>
      </w:rPr>
    </w:lvl>
    <w:lvl w:ilvl="4" w:tplc="46D48BB8" w:tentative="1">
      <w:start w:val="1"/>
      <w:numFmt w:val="decimal"/>
      <w:lvlText w:val="%5."/>
      <w:lvlJc w:val="left"/>
      <w:pPr>
        <w:tabs>
          <w:tab w:val="num" w:pos="3600"/>
        </w:tabs>
        <w:ind w:left="3600" w:hanging="360"/>
      </w:pPr>
    </w:lvl>
    <w:lvl w:ilvl="5" w:tplc="739CB008" w:tentative="1">
      <w:start w:val="1"/>
      <w:numFmt w:val="decimal"/>
      <w:lvlText w:val="%6."/>
      <w:lvlJc w:val="left"/>
      <w:pPr>
        <w:tabs>
          <w:tab w:val="num" w:pos="4320"/>
        </w:tabs>
        <w:ind w:left="4320" w:hanging="360"/>
      </w:pPr>
    </w:lvl>
    <w:lvl w:ilvl="6" w:tplc="B31CCBCE" w:tentative="1">
      <w:start w:val="1"/>
      <w:numFmt w:val="decimal"/>
      <w:lvlText w:val="%7."/>
      <w:lvlJc w:val="left"/>
      <w:pPr>
        <w:tabs>
          <w:tab w:val="num" w:pos="5040"/>
        </w:tabs>
        <w:ind w:left="5040" w:hanging="360"/>
      </w:pPr>
    </w:lvl>
    <w:lvl w:ilvl="7" w:tplc="3D986D16" w:tentative="1">
      <w:start w:val="1"/>
      <w:numFmt w:val="decimal"/>
      <w:lvlText w:val="%8."/>
      <w:lvlJc w:val="left"/>
      <w:pPr>
        <w:tabs>
          <w:tab w:val="num" w:pos="5760"/>
        </w:tabs>
        <w:ind w:left="5760" w:hanging="360"/>
      </w:pPr>
    </w:lvl>
    <w:lvl w:ilvl="8" w:tplc="741A72F0" w:tentative="1">
      <w:start w:val="1"/>
      <w:numFmt w:val="decimal"/>
      <w:lvlText w:val="%9."/>
      <w:lvlJc w:val="left"/>
      <w:pPr>
        <w:tabs>
          <w:tab w:val="num" w:pos="6480"/>
        </w:tabs>
        <w:ind w:left="6480" w:hanging="360"/>
      </w:pPr>
    </w:lvl>
  </w:abstractNum>
  <w:abstractNum w:abstractNumId="21">
    <w:nsid w:val="462127C8"/>
    <w:multiLevelType w:val="hybridMultilevel"/>
    <w:tmpl w:val="AF9A2B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EEF6830"/>
    <w:multiLevelType w:val="hybridMultilevel"/>
    <w:tmpl w:val="C28052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0C96896"/>
    <w:multiLevelType w:val="hybridMultilevel"/>
    <w:tmpl w:val="6D363442"/>
    <w:lvl w:ilvl="0" w:tplc="2A2E910A">
      <w:start w:val="1"/>
      <w:numFmt w:val="upperLetter"/>
      <w:lvlText w:val="%1."/>
      <w:lvlJc w:val="lef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5166B11"/>
    <w:multiLevelType w:val="hybridMultilevel"/>
    <w:tmpl w:val="534ABE7E"/>
    <w:lvl w:ilvl="0" w:tplc="81D6511A">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E4016CF"/>
    <w:multiLevelType w:val="hybridMultilevel"/>
    <w:tmpl w:val="8E8065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0254126"/>
    <w:multiLevelType w:val="hybridMultilevel"/>
    <w:tmpl w:val="2E7E26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0560A07"/>
    <w:multiLevelType w:val="hybridMultilevel"/>
    <w:tmpl w:val="C06433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6E64DB4"/>
    <w:multiLevelType w:val="hybridMultilevel"/>
    <w:tmpl w:val="6CB86B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8B82C49"/>
    <w:multiLevelType w:val="hybridMultilevel"/>
    <w:tmpl w:val="2BEA092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BF27E67"/>
    <w:multiLevelType w:val="hybridMultilevel"/>
    <w:tmpl w:val="14B0E2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D5117CB"/>
    <w:multiLevelType w:val="hybridMultilevel"/>
    <w:tmpl w:val="09E05AAA"/>
    <w:lvl w:ilvl="0" w:tplc="9F3C4AFA">
      <w:start w:val="1"/>
      <w:numFmt w:val="decimal"/>
      <w:lvlText w:val="%1."/>
      <w:lvlJc w:val="left"/>
      <w:pPr>
        <w:tabs>
          <w:tab w:val="num" w:pos="720"/>
        </w:tabs>
        <w:ind w:left="720" w:hanging="360"/>
      </w:pPr>
    </w:lvl>
    <w:lvl w:ilvl="1" w:tplc="DFA41A32">
      <w:start w:val="1"/>
      <w:numFmt w:val="decimal"/>
      <w:lvlText w:val="%2."/>
      <w:lvlJc w:val="left"/>
      <w:pPr>
        <w:tabs>
          <w:tab w:val="num" w:pos="1440"/>
        </w:tabs>
        <w:ind w:left="1440" w:hanging="360"/>
      </w:pPr>
    </w:lvl>
    <w:lvl w:ilvl="2" w:tplc="43D6D826">
      <w:start w:val="1"/>
      <w:numFmt w:val="decimal"/>
      <w:lvlText w:val="%3."/>
      <w:lvlJc w:val="left"/>
      <w:pPr>
        <w:tabs>
          <w:tab w:val="num" w:pos="2160"/>
        </w:tabs>
        <w:ind w:left="2160" w:hanging="360"/>
      </w:pPr>
    </w:lvl>
    <w:lvl w:ilvl="3" w:tplc="E0E42D24">
      <w:start w:val="545"/>
      <w:numFmt w:val="bullet"/>
      <w:lvlText w:val="•"/>
      <w:lvlJc w:val="left"/>
      <w:pPr>
        <w:tabs>
          <w:tab w:val="num" w:pos="2880"/>
        </w:tabs>
        <w:ind w:left="2880" w:hanging="360"/>
      </w:pPr>
      <w:rPr>
        <w:rFonts w:ascii="Arial" w:hAnsi="Arial" w:hint="default"/>
      </w:rPr>
    </w:lvl>
    <w:lvl w:ilvl="4" w:tplc="409ABA98" w:tentative="1">
      <w:start w:val="1"/>
      <w:numFmt w:val="decimal"/>
      <w:lvlText w:val="%5."/>
      <w:lvlJc w:val="left"/>
      <w:pPr>
        <w:tabs>
          <w:tab w:val="num" w:pos="3600"/>
        </w:tabs>
        <w:ind w:left="3600" w:hanging="360"/>
      </w:pPr>
    </w:lvl>
    <w:lvl w:ilvl="5" w:tplc="CF56BC90" w:tentative="1">
      <w:start w:val="1"/>
      <w:numFmt w:val="decimal"/>
      <w:lvlText w:val="%6."/>
      <w:lvlJc w:val="left"/>
      <w:pPr>
        <w:tabs>
          <w:tab w:val="num" w:pos="4320"/>
        </w:tabs>
        <w:ind w:left="4320" w:hanging="360"/>
      </w:pPr>
    </w:lvl>
    <w:lvl w:ilvl="6" w:tplc="65A4C812" w:tentative="1">
      <w:start w:val="1"/>
      <w:numFmt w:val="decimal"/>
      <w:lvlText w:val="%7."/>
      <w:lvlJc w:val="left"/>
      <w:pPr>
        <w:tabs>
          <w:tab w:val="num" w:pos="5040"/>
        </w:tabs>
        <w:ind w:left="5040" w:hanging="360"/>
      </w:pPr>
    </w:lvl>
    <w:lvl w:ilvl="7" w:tplc="E1726560" w:tentative="1">
      <w:start w:val="1"/>
      <w:numFmt w:val="decimal"/>
      <w:lvlText w:val="%8."/>
      <w:lvlJc w:val="left"/>
      <w:pPr>
        <w:tabs>
          <w:tab w:val="num" w:pos="5760"/>
        </w:tabs>
        <w:ind w:left="5760" w:hanging="360"/>
      </w:pPr>
    </w:lvl>
    <w:lvl w:ilvl="8" w:tplc="87AE9AD8" w:tentative="1">
      <w:start w:val="1"/>
      <w:numFmt w:val="decimal"/>
      <w:lvlText w:val="%9."/>
      <w:lvlJc w:val="left"/>
      <w:pPr>
        <w:tabs>
          <w:tab w:val="num" w:pos="6480"/>
        </w:tabs>
        <w:ind w:left="6480" w:hanging="360"/>
      </w:pPr>
    </w:lvl>
  </w:abstractNum>
  <w:abstractNum w:abstractNumId="32">
    <w:nsid w:val="6EFB6898"/>
    <w:multiLevelType w:val="hybridMultilevel"/>
    <w:tmpl w:val="C89E08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51A4998"/>
    <w:multiLevelType w:val="hybridMultilevel"/>
    <w:tmpl w:val="019AE2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A0F76AE"/>
    <w:multiLevelType w:val="hybridMultilevel"/>
    <w:tmpl w:val="A77A6FA6"/>
    <w:lvl w:ilvl="0" w:tplc="BB6A88AC">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DD94D72"/>
    <w:multiLevelType w:val="hybridMultilevel"/>
    <w:tmpl w:val="95102C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23"/>
  </w:num>
  <w:num w:numId="4">
    <w:abstractNumId w:val="20"/>
  </w:num>
  <w:num w:numId="5">
    <w:abstractNumId w:val="31"/>
  </w:num>
  <w:num w:numId="6">
    <w:abstractNumId w:val="23"/>
    <w:lvlOverride w:ilvl="0">
      <w:startOverride w:val="1"/>
    </w:lvlOverride>
  </w:num>
  <w:num w:numId="7">
    <w:abstractNumId w:val="24"/>
  </w:num>
  <w:num w:numId="8">
    <w:abstractNumId w:val="10"/>
  </w:num>
  <w:num w:numId="9">
    <w:abstractNumId w:val="9"/>
  </w:num>
  <w:num w:numId="10">
    <w:abstractNumId w:val="17"/>
  </w:num>
  <w:num w:numId="11">
    <w:abstractNumId w:val="4"/>
  </w:num>
  <w:num w:numId="12">
    <w:abstractNumId w:val="22"/>
  </w:num>
  <w:num w:numId="13">
    <w:abstractNumId w:val="16"/>
  </w:num>
  <w:num w:numId="14">
    <w:abstractNumId w:val="12"/>
  </w:num>
  <w:num w:numId="15">
    <w:abstractNumId w:val="0"/>
  </w:num>
  <w:num w:numId="16">
    <w:abstractNumId w:val="5"/>
  </w:num>
  <w:num w:numId="17">
    <w:abstractNumId w:val="14"/>
  </w:num>
  <w:num w:numId="18">
    <w:abstractNumId w:val="30"/>
  </w:num>
  <w:num w:numId="19">
    <w:abstractNumId w:val="7"/>
  </w:num>
  <w:num w:numId="20">
    <w:abstractNumId w:val="33"/>
  </w:num>
  <w:num w:numId="21">
    <w:abstractNumId w:val="25"/>
  </w:num>
  <w:num w:numId="22">
    <w:abstractNumId w:val="1"/>
  </w:num>
  <w:num w:numId="23">
    <w:abstractNumId w:val="27"/>
  </w:num>
  <w:num w:numId="24">
    <w:abstractNumId w:val="35"/>
  </w:num>
  <w:num w:numId="25">
    <w:abstractNumId w:val="2"/>
  </w:num>
  <w:num w:numId="26">
    <w:abstractNumId w:val="6"/>
  </w:num>
  <w:num w:numId="27">
    <w:abstractNumId w:val="26"/>
  </w:num>
  <w:num w:numId="28">
    <w:abstractNumId w:val="23"/>
    <w:lvlOverride w:ilvl="0">
      <w:startOverride w:val="1"/>
    </w:lvlOverride>
  </w:num>
  <w:num w:numId="29">
    <w:abstractNumId w:val="13"/>
  </w:num>
  <w:num w:numId="30">
    <w:abstractNumId w:val="32"/>
  </w:num>
  <w:num w:numId="31">
    <w:abstractNumId w:val="11"/>
  </w:num>
  <w:num w:numId="32">
    <w:abstractNumId w:val="3"/>
  </w:num>
  <w:num w:numId="33">
    <w:abstractNumId w:val="34"/>
  </w:num>
  <w:num w:numId="34">
    <w:abstractNumId w:val="18"/>
  </w:num>
  <w:num w:numId="35">
    <w:abstractNumId w:val="28"/>
  </w:num>
  <w:num w:numId="36">
    <w:abstractNumId w:val="21"/>
  </w:num>
  <w:num w:numId="37">
    <w:abstractNumId w:val="19"/>
  </w:num>
  <w:num w:numId="38">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C8D"/>
    <w:rsid w:val="000169D5"/>
    <w:rsid w:val="00021889"/>
    <w:rsid w:val="00030526"/>
    <w:rsid w:val="00031B94"/>
    <w:rsid w:val="00033113"/>
    <w:rsid w:val="00047B4B"/>
    <w:rsid w:val="00056C3E"/>
    <w:rsid w:val="000615D5"/>
    <w:rsid w:val="0006198D"/>
    <w:rsid w:val="00070D92"/>
    <w:rsid w:val="000750B5"/>
    <w:rsid w:val="000C3428"/>
    <w:rsid w:val="000C76B9"/>
    <w:rsid w:val="000D1B33"/>
    <w:rsid w:val="000D1D74"/>
    <w:rsid w:val="000D34BA"/>
    <w:rsid w:val="000D52D1"/>
    <w:rsid w:val="000E4504"/>
    <w:rsid w:val="00104D74"/>
    <w:rsid w:val="00105E1D"/>
    <w:rsid w:val="00114606"/>
    <w:rsid w:val="0012753D"/>
    <w:rsid w:val="00170E84"/>
    <w:rsid w:val="0017544C"/>
    <w:rsid w:val="00191CC4"/>
    <w:rsid w:val="001A7100"/>
    <w:rsid w:val="001A7625"/>
    <w:rsid w:val="001A78C5"/>
    <w:rsid w:val="001A7F66"/>
    <w:rsid w:val="001C1AB3"/>
    <w:rsid w:val="001C473E"/>
    <w:rsid w:val="001C5267"/>
    <w:rsid w:val="001C693B"/>
    <w:rsid w:val="001D1C9F"/>
    <w:rsid w:val="001D4749"/>
    <w:rsid w:val="001E4AEA"/>
    <w:rsid w:val="00204FAE"/>
    <w:rsid w:val="002165DA"/>
    <w:rsid w:val="00225724"/>
    <w:rsid w:val="00227C94"/>
    <w:rsid w:val="0023297F"/>
    <w:rsid w:val="0024088C"/>
    <w:rsid w:val="00242181"/>
    <w:rsid w:val="00245BA7"/>
    <w:rsid w:val="00251816"/>
    <w:rsid w:val="0026246C"/>
    <w:rsid w:val="00263158"/>
    <w:rsid w:val="002A50FF"/>
    <w:rsid w:val="002A7AE5"/>
    <w:rsid w:val="002B6901"/>
    <w:rsid w:val="002B7769"/>
    <w:rsid w:val="002C50E8"/>
    <w:rsid w:val="002D0737"/>
    <w:rsid w:val="002E34F8"/>
    <w:rsid w:val="002E384C"/>
    <w:rsid w:val="002F3DC3"/>
    <w:rsid w:val="00300BC3"/>
    <w:rsid w:val="00306E2D"/>
    <w:rsid w:val="00313E48"/>
    <w:rsid w:val="00313F3F"/>
    <w:rsid w:val="003241BC"/>
    <w:rsid w:val="003258FB"/>
    <w:rsid w:val="00325BBF"/>
    <w:rsid w:val="003316AE"/>
    <w:rsid w:val="00331E25"/>
    <w:rsid w:val="00333505"/>
    <w:rsid w:val="003428EB"/>
    <w:rsid w:val="00352DD0"/>
    <w:rsid w:val="00353399"/>
    <w:rsid w:val="00354E1F"/>
    <w:rsid w:val="0037150C"/>
    <w:rsid w:val="003829D1"/>
    <w:rsid w:val="0038703C"/>
    <w:rsid w:val="003B4A6A"/>
    <w:rsid w:val="003C29E2"/>
    <w:rsid w:val="003D0EA9"/>
    <w:rsid w:val="003D0F8B"/>
    <w:rsid w:val="003E04A0"/>
    <w:rsid w:val="003E42CF"/>
    <w:rsid w:val="003F2540"/>
    <w:rsid w:val="00400C8C"/>
    <w:rsid w:val="00404BD2"/>
    <w:rsid w:val="00411526"/>
    <w:rsid w:val="004119CF"/>
    <w:rsid w:val="004139DE"/>
    <w:rsid w:val="004151E4"/>
    <w:rsid w:val="00424CCF"/>
    <w:rsid w:val="00426EFF"/>
    <w:rsid w:val="00451779"/>
    <w:rsid w:val="00456D33"/>
    <w:rsid w:val="004618F6"/>
    <w:rsid w:val="004714A8"/>
    <w:rsid w:val="00494725"/>
    <w:rsid w:val="004A2909"/>
    <w:rsid w:val="004A6DF7"/>
    <w:rsid w:val="004C0926"/>
    <w:rsid w:val="004C53EA"/>
    <w:rsid w:val="004D5815"/>
    <w:rsid w:val="004D5FDB"/>
    <w:rsid w:val="004D7167"/>
    <w:rsid w:val="004E2EB0"/>
    <w:rsid w:val="004F5216"/>
    <w:rsid w:val="00502F4D"/>
    <w:rsid w:val="005111C2"/>
    <w:rsid w:val="00511332"/>
    <w:rsid w:val="00511BE7"/>
    <w:rsid w:val="0051679F"/>
    <w:rsid w:val="005308BB"/>
    <w:rsid w:val="005363C2"/>
    <w:rsid w:val="00562A28"/>
    <w:rsid w:val="005632FE"/>
    <w:rsid w:val="00565EDB"/>
    <w:rsid w:val="00565F0F"/>
    <w:rsid w:val="0058039E"/>
    <w:rsid w:val="00580D72"/>
    <w:rsid w:val="00581FEA"/>
    <w:rsid w:val="00582453"/>
    <w:rsid w:val="00594151"/>
    <w:rsid w:val="005B5206"/>
    <w:rsid w:val="005B7A09"/>
    <w:rsid w:val="005B7D3E"/>
    <w:rsid w:val="005C5EA3"/>
    <w:rsid w:val="005D2EA7"/>
    <w:rsid w:val="005D5997"/>
    <w:rsid w:val="005D5C8D"/>
    <w:rsid w:val="00601FB7"/>
    <w:rsid w:val="00604B2F"/>
    <w:rsid w:val="00612141"/>
    <w:rsid w:val="00613182"/>
    <w:rsid w:val="00620880"/>
    <w:rsid w:val="00622ED8"/>
    <w:rsid w:val="00623C62"/>
    <w:rsid w:val="00626E73"/>
    <w:rsid w:val="00630317"/>
    <w:rsid w:val="006357FA"/>
    <w:rsid w:val="00647166"/>
    <w:rsid w:val="00652379"/>
    <w:rsid w:val="00667896"/>
    <w:rsid w:val="006703B7"/>
    <w:rsid w:val="00671838"/>
    <w:rsid w:val="00677F33"/>
    <w:rsid w:val="00682E54"/>
    <w:rsid w:val="006954AA"/>
    <w:rsid w:val="00695EAA"/>
    <w:rsid w:val="006B4417"/>
    <w:rsid w:val="006D56B9"/>
    <w:rsid w:val="006D6D07"/>
    <w:rsid w:val="006E17E5"/>
    <w:rsid w:val="006E3FE2"/>
    <w:rsid w:val="006F2808"/>
    <w:rsid w:val="007019AC"/>
    <w:rsid w:val="007022AC"/>
    <w:rsid w:val="00702B4A"/>
    <w:rsid w:val="00703B7B"/>
    <w:rsid w:val="0072544D"/>
    <w:rsid w:val="00731F84"/>
    <w:rsid w:val="00740AD2"/>
    <w:rsid w:val="0074191E"/>
    <w:rsid w:val="00754125"/>
    <w:rsid w:val="00755E78"/>
    <w:rsid w:val="00776338"/>
    <w:rsid w:val="00777801"/>
    <w:rsid w:val="007A4C99"/>
    <w:rsid w:val="007A4CC0"/>
    <w:rsid w:val="007C195E"/>
    <w:rsid w:val="007D3210"/>
    <w:rsid w:val="007E24B2"/>
    <w:rsid w:val="008030CD"/>
    <w:rsid w:val="008070B8"/>
    <w:rsid w:val="0083594F"/>
    <w:rsid w:val="00841A43"/>
    <w:rsid w:val="00852C1B"/>
    <w:rsid w:val="00862FE0"/>
    <w:rsid w:val="00863B5D"/>
    <w:rsid w:val="00863FF2"/>
    <w:rsid w:val="00873A8E"/>
    <w:rsid w:val="00876858"/>
    <w:rsid w:val="00884916"/>
    <w:rsid w:val="008B6A7D"/>
    <w:rsid w:val="008C2C98"/>
    <w:rsid w:val="008E552B"/>
    <w:rsid w:val="008E754E"/>
    <w:rsid w:val="008F1873"/>
    <w:rsid w:val="008F7E75"/>
    <w:rsid w:val="00901CF1"/>
    <w:rsid w:val="009228F2"/>
    <w:rsid w:val="009317C7"/>
    <w:rsid w:val="00954DE6"/>
    <w:rsid w:val="009562C4"/>
    <w:rsid w:val="00972F85"/>
    <w:rsid w:val="00981CCC"/>
    <w:rsid w:val="00985A7E"/>
    <w:rsid w:val="0099390E"/>
    <w:rsid w:val="0099452E"/>
    <w:rsid w:val="00996CAC"/>
    <w:rsid w:val="009B39E9"/>
    <w:rsid w:val="009C2C39"/>
    <w:rsid w:val="009C461E"/>
    <w:rsid w:val="009D1A00"/>
    <w:rsid w:val="009D45D3"/>
    <w:rsid w:val="009E33EE"/>
    <w:rsid w:val="009F5067"/>
    <w:rsid w:val="009F52AB"/>
    <w:rsid w:val="00A03E6F"/>
    <w:rsid w:val="00A041DF"/>
    <w:rsid w:val="00A218CF"/>
    <w:rsid w:val="00A27B94"/>
    <w:rsid w:val="00A35569"/>
    <w:rsid w:val="00A37A8D"/>
    <w:rsid w:val="00A409D3"/>
    <w:rsid w:val="00A431CB"/>
    <w:rsid w:val="00A44453"/>
    <w:rsid w:val="00A513B7"/>
    <w:rsid w:val="00A52371"/>
    <w:rsid w:val="00A54739"/>
    <w:rsid w:val="00A55865"/>
    <w:rsid w:val="00A70F23"/>
    <w:rsid w:val="00A73C9A"/>
    <w:rsid w:val="00A7532A"/>
    <w:rsid w:val="00A7581A"/>
    <w:rsid w:val="00A94441"/>
    <w:rsid w:val="00AA288D"/>
    <w:rsid w:val="00AA69E3"/>
    <w:rsid w:val="00AB1690"/>
    <w:rsid w:val="00AB41D8"/>
    <w:rsid w:val="00AB5A19"/>
    <w:rsid w:val="00AC7803"/>
    <w:rsid w:val="00AE17C3"/>
    <w:rsid w:val="00AE2079"/>
    <w:rsid w:val="00AE31F4"/>
    <w:rsid w:val="00AE415A"/>
    <w:rsid w:val="00AE65ED"/>
    <w:rsid w:val="00AF331C"/>
    <w:rsid w:val="00AF6C58"/>
    <w:rsid w:val="00B10466"/>
    <w:rsid w:val="00B11B96"/>
    <w:rsid w:val="00B12BE4"/>
    <w:rsid w:val="00B146C3"/>
    <w:rsid w:val="00B16210"/>
    <w:rsid w:val="00B40F69"/>
    <w:rsid w:val="00B4656E"/>
    <w:rsid w:val="00B47555"/>
    <w:rsid w:val="00B51CDF"/>
    <w:rsid w:val="00B60002"/>
    <w:rsid w:val="00B60719"/>
    <w:rsid w:val="00B76CA8"/>
    <w:rsid w:val="00B80FC2"/>
    <w:rsid w:val="00B93BA6"/>
    <w:rsid w:val="00BA5091"/>
    <w:rsid w:val="00BA6ADB"/>
    <w:rsid w:val="00BB2002"/>
    <w:rsid w:val="00BB60E3"/>
    <w:rsid w:val="00BC018C"/>
    <w:rsid w:val="00BC2AEF"/>
    <w:rsid w:val="00BC699F"/>
    <w:rsid w:val="00BD529E"/>
    <w:rsid w:val="00BE3B25"/>
    <w:rsid w:val="00BF270D"/>
    <w:rsid w:val="00BF5E74"/>
    <w:rsid w:val="00C046D9"/>
    <w:rsid w:val="00C07FDD"/>
    <w:rsid w:val="00C22789"/>
    <w:rsid w:val="00C326EE"/>
    <w:rsid w:val="00C373FD"/>
    <w:rsid w:val="00C43824"/>
    <w:rsid w:val="00C50D06"/>
    <w:rsid w:val="00C519E5"/>
    <w:rsid w:val="00C54E4C"/>
    <w:rsid w:val="00C73A54"/>
    <w:rsid w:val="00C77E5B"/>
    <w:rsid w:val="00C813D6"/>
    <w:rsid w:val="00C96A3F"/>
    <w:rsid w:val="00CB1953"/>
    <w:rsid w:val="00CB4EC0"/>
    <w:rsid w:val="00CC2702"/>
    <w:rsid w:val="00CE2B93"/>
    <w:rsid w:val="00CE5BBD"/>
    <w:rsid w:val="00D21F65"/>
    <w:rsid w:val="00D22F26"/>
    <w:rsid w:val="00D33AE6"/>
    <w:rsid w:val="00D33DC2"/>
    <w:rsid w:val="00D36CB3"/>
    <w:rsid w:val="00D36ED3"/>
    <w:rsid w:val="00D37D34"/>
    <w:rsid w:val="00D4722F"/>
    <w:rsid w:val="00D532D7"/>
    <w:rsid w:val="00D5450D"/>
    <w:rsid w:val="00D57032"/>
    <w:rsid w:val="00D63E6E"/>
    <w:rsid w:val="00D6616A"/>
    <w:rsid w:val="00D67A50"/>
    <w:rsid w:val="00D76239"/>
    <w:rsid w:val="00D81030"/>
    <w:rsid w:val="00D822DB"/>
    <w:rsid w:val="00DA7455"/>
    <w:rsid w:val="00DB0D8E"/>
    <w:rsid w:val="00DB47DC"/>
    <w:rsid w:val="00DD0614"/>
    <w:rsid w:val="00DD261D"/>
    <w:rsid w:val="00DE0F44"/>
    <w:rsid w:val="00DE6826"/>
    <w:rsid w:val="00E00F58"/>
    <w:rsid w:val="00E21482"/>
    <w:rsid w:val="00E72B0C"/>
    <w:rsid w:val="00E73AAA"/>
    <w:rsid w:val="00E775BF"/>
    <w:rsid w:val="00E850E5"/>
    <w:rsid w:val="00E868BE"/>
    <w:rsid w:val="00E916F2"/>
    <w:rsid w:val="00E93672"/>
    <w:rsid w:val="00E97861"/>
    <w:rsid w:val="00EA0E8C"/>
    <w:rsid w:val="00EA274E"/>
    <w:rsid w:val="00EA6EE1"/>
    <w:rsid w:val="00EB0C8A"/>
    <w:rsid w:val="00EC3E59"/>
    <w:rsid w:val="00EC4E85"/>
    <w:rsid w:val="00EC6BFB"/>
    <w:rsid w:val="00ED3A43"/>
    <w:rsid w:val="00ED59B7"/>
    <w:rsid w:val="00ED6847"/>
    <w:rsid w:val="00ED6CBF"/>
    <w:rsid w:val="00EE3646"/>
    <w:rsid w:val="00EE5653"/>
    <w:rsid w:val="00EF3945"/>
    <w:rsid w:val="00EF48C0"/>
    <w:rsid w:val="00F044DF"/>
    <w:rsid w:val="00F0737E"/>
    <w:rsid w:val="00F31863"/>
    <w:rsid w:val="00F3348D"/>
    <w:rsid w:val="00F3551D"/>
    <w:rsid w:val="00F37C4E"/>
    <w:rsid w:val="00F43108"/>
    <w:rsid w:val="00F526B0"/>
    <w:rsid w:val="00F54AF6"/>
    <w:rsid w:val="00F563CC"/>
    <w:rsid w:val="00F73750"/>
    <w:rsid w:val="00F83AAB"/>
    <w:rsid w:val="00F86745"/>
    <w:rsid w:val="00FA3EBE"/>
    <w:rsid w:val="00FD2C2B"/>
    <w:rsid w:val="00FF62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C8D"/>
    <w:pPr>
      <w:spacing w:before="120" w:after="0" w:line="240" w:lineRule="auto"/>
      <w:jc w:val="both"/>
    </w:pPr>
    <w:rPr>
      <w:rFonts w:ascii="Arial" w:hAnsi="Arial"/>
      <w:sz w:val="24"/>
    </w:rPr>
  </w:style>
  <w:style w:type="paragraph" w:styleId="Nadpis1">
    <w:name w:val="heading 1"/>
    <w:basedOn w:val="Normln"/>
    <w:next w:val="Normln"/>
    <w:link w:val="Nadpis1Char"/>
    <w:uiPriority w:val="9"/>
    <w:qFormat/>
    <w:rsid w:val="007D3210"/>
    <w:pPr>
      <w:keepNext/>
      <w:keepLines/>
      <w:numPr>
        <w:numId w:val="31"/>
      </w:numPr>
      <w:spacing w:before="480"/>
      <w:jc w:val="center"/>
      <w:outlineLvl w:val="0"/>
    </w:pPr>
    <w:rPr>
      <w:rFonts w:eastAsiaTheme="majorEastAsia" w:cstheme="majorBidi"/>
      <w:b/>
      <w:bCs/>
      <w:color w:val="FF0000"/>
      <w:sz w:val="28"/>
      <w:szCs w:val="28"/>
    </w:rPr>
  </w:style>
  <w:style w:type="paragraph" w:styleId="Nadpis2">
    <w:name w:val="heading 2"/>
    <w:basedOn w:val="Normln"/>
    <w:next w:val="Normln"/>
    <w:link w:val="Nadpis2Char"/>
    <w:uiPriority w:val="9"/>
    <w:unhideWhenUsed/>
    <w:qFormat/>
    <w:rsid w:val="00DD261D"/>
    <w:pPr>
      <w:keepNext/>
      <w:keepLines/>
      <w:numPr>
        <w:ilvl w:val="1"/>
        <w:numId w:val="31"/>
      </w:numPr>
      <w:spacing w:before="200"/>
      <w:jc w:val="left"/>
      <w:outlineLvl w:val="1"/>
    </w:pPr>
    <w:rPr>
      <w:rFonts w:eastAsiaTheme="majorEastAsia" w:cstheme="majorBidi"/>
      <w:b/>
      <w:bCs/>
      <w:color w:val="548DD4" w:themeColor="text2" w:themeTint="99"/>
      <w:sz w:val="28"/>
      <w:szCs w:val="26"/>
    </w:rPr>
  </w:style>
  <w:style w:type="paragraph" w:styleId="Nadpis3">
    <w:name w:val="heading 3"/>
    <w:basedOn w:val="Normln"/>
    <w:next w:val="Normln"/>
    <w:link w:val="Nadpis3Char"/>
    <w:uiPriority w:val="9"/>
    <w:unhideWhenUsed/>
    <w:qFormat/>
    <w:rsid w:val="00DD261D"/>
    <w:pPr>
      <w:keepNext/>
      <w:keepLines/>
      <w:numPr>
        <w:ilvl w:val="2"/>
        <w:numId w:val="31"/>
      </w:numPr>
      <w:spacing w:before="200"/>
      <w:jc w:val="left"/>
      <w:outlineLvl w:val="2"/>
    </w:pPr>
    <w:rPr>
      <w:rFonts w:eastAsiaTheme="majorEastAsia" w:cstheme="majorBidi"/>
      <w:b/>
      <w:bCs/>
      <w:color w:val="00B050"/>
    </w:rPr>
  </w:style>
  <w:style w:type="paragraph" w:styleId="Nadpis4">
    <w:name w:val="heading 4"/>
    <w:basedOn w:val="Normln"/>
    <w:next w:val="Normln"/>
    <w:link w:val="Nadpis4Char"/>
    <w:uiPriority w:val="9"/>
    <w:unhideWhenUsed/>
    <w:qFormat/>
    <w:rsid w:val="00DD261D"/>
    <w:pPr>
      <w:keepNext/>
      <w:keepLines/>
      <w:spacing w:before="200"/>
      <w:jc w:val="center"/>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3C29E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D5C8D"/>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D5C8D"/>
    <w:rPr>
      <w:rFonts w:ascii="Tahoma" w:hAnsi="Tahoma" w:cs="Tahoma"/>
      <w:sz w:val="16"/>
      <w:szCs w:val="16"/>
    </w:rPr>
  </w:style>
  <w:style w:type="paragraph" w:styleId="Zkladntext3">
    <w:name w:val="Body Text 3"/>
    <w:basedOn w:val="Normln"/>
    <w:link w:val="Zkladntext3Char"/>
    <w:rsid w:val="00DE0F44"/>
    <w:pPr>
      <w:spacing w:line="360" w:lineRule="auto"/>
    </w:pPr>
    <w:rPr>
      <w:rFonts w:ascii="Arial Narrow" w:eastAsia="Times New Roman" w:hAnsi="Arial Narrow" w:cs="Times New Roman"/>
      <w:szCs w:val="24"/>
      <w:lang w:eastAsia="cs-CZ"/>
    </w:rPr>
  </w:style>
  <w:style w:type="character" w:customStyle="1" w:styleId="Zkladntext3Char">
    <w:name w:val="Základní text 3 Char"/>
    <w:basedOn w:val="Standardnpsmoodstavce"/>
    <w:link w:val="Zkladntext3"/>
    <w:rsid w:val="00DE0F44"/>
    <w:rPr>
      <w:rFonts w:ascii="Arial Narrow" w:eastAsia="Times New Roman" w:hAnsi="Arial Narrow" w:cs="Times New Roman"/>
      <w:sz w:val="24"/>
      <w:szCs w:val="24"/>
      <w:lang w:eastAsia="cs-CZ"/>
    </w:rPr>
  </w:style>
  <w:style w:type="paragraph" w:styleId="Textpoznpodarou">
    <w:name w:val="footnote text"/>
    <w:basedOn w:val="Normln"/>
    <w:link w:val="TextpoznpodarouChar"/>
    <w:unhideWhenUsed/>
    <w:rsid w:val="00DE0F44"/>
    <w:rPr>
      <w:sz w:val="20"/>
      <w:szCs w:val="20"/>
    </w:rPr>
  </w:style>
  <w:style w:type="character" w:customStyle="1" w:styleId="TextpoznpodarouChar">
    <w:name w:val="Text pozn. pod čarou Char"/>
    <w:basedOn w:val="Standardnpsmoodstavce"/>
    <w:link w:val="Textpoznpodarou"/>
    <w:rsid w:val="00DE0F44"/>
    <w:rPr>
      <w:rFonts w:ascii="Arial" w:hAnsi="Arial"/>
      <w:sz w:val="20"/>
      <w:szCs w:val="20"/>
    </w:rPr>
  </w:style>
  <w:style w:type="character" w:styleId="Znakapoznpodarou">
    <w:name w:val="footnote reference"/>
    <w:basedOn w:val="Standardnpsmoodstavce"/>
    <w:uiPriority w:val="99"/>
    <w:unhideWhenUsed/>
    <w:rsid w:val="00DE0F44"/>
    <w:rPr>
      <w:vertAlign w:val="superscript"/>
    </w:rPr>
  </w:style>
  <w:style w:type="paragraph" w:styleId="Odstavecseseznamem">
    <w:name w:val="List Paragraph"/>
    <w:basedOn w:val="Normln"/>
    <w:uiPriority w:val="34"/>
    <w:qFormat/>
    <w:rsid w:val="00C43824"/>
    <w:pPr>
      <w:ind w:left="720"/>
      <w:contextualSpacing/>
    </w:pPr>
  </w:style>
  <w:style w:type="table" w:styleId="Mkatabulky">
    <w:name w:val="Table Grid"/>
    <w:basedOn w:val="Normlntabulka"/>
    <w:uiPriority w:val="59"/>
    <w:rsid w:val="00016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0169D5"/>
    <w:pPr>
      <w:spacing w:before="0" w:after="60"/>
    </w:pPr>
    <w:rPr>
      <w:b/>
      <w:bCs/>
      <w:color w:val="0D0D0D" w:themeColor="text1" w:themeTint="F2"/>
      <w:sz w:val="20"/>
      <w:szCs w:val="18"/>
    </w:rPr>
  </w:style>
  <w:style w:type="paragraph" w:styleId="Normlnweb">
    <w:name w:val="Normal (Web)"/>
    <w:basedOn w:val="Normln"/>
    <w:uiPriority w:val="99"/>
    <w:unhideWhenUsed/>
    <w:rsid w:val="003D0EA9"/>
    <w:pPr>
      <w:spacing w:before="100" w:beforeAutospacing="1" w:after="100" w:afterAutospacing="1"/>
      <w:jc w:val="left"/>
    </w:pPr>
    <w:rPr>
      <w:rFonts w:ascii="Times New Roman" w:eastAsiaTheme="minorEastAsia" w:hAnsi="Times New Roman" w:cs="Times New Roman"/>
      <w:szCs w:val="24"/>
      <w:lang w:eastAsia="cs-CZ"/>
    </w:rPr>
  </w:style>
  <w:style w:type="character" w:customStyle="1" w:styleId="Nadpis1Char">
    <w:name w:val="Nadpis 1 Char"/>
    <w:basedOn w:val="Standardnpsmoodstavce"/>
    <w:link w:val="Nadpis1"/>
    <w:uiPriority w:val="9"/>
    <w:rsid w:val="007D3210"/>
    <w:rPr>
      <w:rFonts w:ascii="Arial" w:eastAsiaTheme="majorEastAsia" w:hAnsi="Arial" w:cstheme="majorBidi"/>
      <w:b/>
      <w:bCs/>
      <w:color w:val="FF0000"/>
      <w:sz w:val="28"/>
      <w:szCs w:val="28"/>
    </w:rPr>
  </w:style>
  <w:style w:type="paragraph" w:styleId="Nadpisobsahu">
    <w:name w:val="TOC Heading"/>
    <w:basedOn w:val="Nadpis1"/>
    <w:next w:val="Normln"/>
    <w:uiPriority w:val="39"/>
    <w:unhideWhenUsed/>
    <w:qFormat/>
    <w:rsid w:val="00A041DF"/>
    <w:pPr>
      <w:spacing w:line="276" w:lineRule="auto"/>
      <w:outlineLvl w:val="9"/>
    </w:pPr>
    <w:rPr>
      <w:lang w:eastAsia="cs-CZ"/>
    </w:rPr>
  </w:style>
  <w:style w:type="character" w:customStyle="1" w:styleId="Nadpis2Char">
    <w:name w:val="Nadpis 2 Char"/>
    <w:basedOn w:val="Standardnpsmoodstavce"/>
    <w:link w:val="Nadpis2"/>
    <w:uiPriority w:val="9"/>
    <w:rsid w:val="00DD261D"/>
    <w:rPr>
      <w:rFonts w:ascii="Arial" w:eastAsiaTheme="majorEastAsia" w:hAnsi="Arial" w:cstheme="majorBidi"/>
      <w:b/>
      <w:bCs/>
      <w:color w:val="548DD4" w:themeColor="text2" w:themeTint="99"/>
      <w:sz w:val="28"/>
      <w:szCs w:val="26"/>
    </w:rPr>
  </w:style>
  <w:style w:type="paragraph" w:styleId="Obsah1">
    <w:name w:val="toc 1"/>
    <w:basedOn w:val="Normln"/>
    <w:next w:val="Normln"/>
    <w:autoRedefine/>
    <w:uiPriority w:val="39"/>
    <w:unhideWhenUsed/>
    <w:rsid w:val="00AE17C3"/>
    <w:pPr>
      <w:tabs>
        <w:tab w:val="left" w:pos="426"/>
        <w:tab w:val="right" w:leader="dot" w:pos="9062"/>
      </w:tabs>
      <w:spacing w:after="100"/>
    </w:pPr>
  </w:style>
  <w:style w:type="paragraph" w:styleId="Obsah2">
    <w:name w:val="toc 2"/>
    <w:basedOn w:val="Normln"/>
    <w:next w:val="Normln"/>
    <w:autoRedefine/>
    <w:uiPriority w:val="39"/>
    <w:unhideWhenUsed/>
    <w:rsid w:val="00996CAC"/>
    <w:pPr>
      <w:tabs>
        <w:tab w:val="left" w:pos="567"/>
        <w:tab w:val="right" w:leader="dot" w:pos="9062"/>
      </w:tabs>
      <w:spacing w:after="100"/>
      <w:ind w:left="142"/>
    </w:pPr>
  </w:style>
  <w:style w:type="character" w:styleId="Hypertextovodkaz">
    <w:name w:val="Hyperlink"/>
    <w:basedOn w:val="Standardnpsmoodstavce"/>
    <w:uiPriority w:val="99"/>
    <w:unhideWhenUsed/>
    <w:rsid w:val="00A03E6F"/>
    <w:rPr>
      <w:color w:val="0000FF" w:themeColor="hyperlink"/>
      <w:u w:val="single"/>
    </w:rPr>
  </w:style>
  <w:style w:type="character" w:customStyle="1" w:styleId="Nadpis5Char">
    <w:name w:val="Nadpis 5 Char"/>
    <w:basedOn w:val="Standardnpsmoodstavce"/>
    <w:link w:val="Nadpis5"/>
    <w:uiPriority w:val="9"/>
    <w:semiHidden/>
    <w:rsid w:val="003C29E2"/>
    <w:rPr>
      <w:rFonts w:asciiTheme="majorHAnsi" w:eastAsiaTheme="majorEastAsia" w:hAnsiTheme="majorHAnsi" w:cstheme="majorBidi"/>
      <w:color w:val="243F60" w:themeColor="accent1" w:themeShade="7F"/>
      <w:sz w:val="24"/>
    </w:rPr>
  </w:style>
  <w:style w:type="character" w:customStyle="1" w:styleId="Nadpis3Char">
    <w:name w:val="Nadpis 3 Char"/>
    <w:basedOn w:val="Standardnpsmoodstavce"/>
    <w:link w:val="Nadpis3"/>
    <w:uiPriority w:val="9"/>
    <w:rsid w:val="00DD261D"/>
    <w:rPr>
      <w:rFonts w:ascii="Arial" w:eastAsiaTheme="majorEastAsia" w:hAnsi="Arial" w:cstheme="majorBidi"/>
      <w:b/>
      <w:bCs/>
      <w:color w:val="00B050"/>
      <w:sz w:val="24"/>
    </w:rPr>
  </w:style>
  <w:style w:type="paragraph" w:styleId="Obsah3">
    <w:name w:val="toc 3"/>
    <w:basedOn w:val="Normln"/>
    <w:next w:val="Normln"/>
    <w:autoRedefine/>
    <w:uiPriority w:val="39"/>
    <w:unhideWhenUsed/>
    <w:rsid w:val="00426EFF"/>
    <w:pPr>
      <w:tabs>
        <w:tab w:val="left" w:pos="426"/>
        <w:tab w:val="left" w:pos="1100"/>
        <w:tab w:val="right" w:leader="dot" w:pos="9062"/>
      </w:tabs>
      <w:spacing w:after="100"/>
      <w:jc w:val="left"/>
    </w:pPr>
  </w:style>
  <w:style w:type="table" w:styleId="Stednmka1zvraznn1">
    <w:name w:val="Medium Grid 1 Accent 1"/>
    <w:basedOn w:val="Normlntabulka"/>
    <w:uiPriority w:val="67"/>
    <w:rsid w:val="00565ED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6">
    <w:name w:val="Medium Grid 1 Accent 6"/>
    <w:basedOn w:val="Normlntabulka"/>
    <w:uiPriority w:val="67"/>
    <w:rsid w:val="00565ED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2">
    <w:name w:val="Medium Grid 1 Accent 2"/>
    <w:basedOn w:val="Normlntabulka"/>
    <w:uiPriority w:val="67"/>
    <w:rsid w:val="00565ED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ednmka1zvraznn61">
    <w:name w:val="Střední mřížka 1 – zvýraznění 61"/>
    <w:basedOn w:val="Normlntabulka"/>
    <w:next w:val="Stednmka1zvraznn6"/>
    <w:uiPriority w:val="67"/>
    <w:rsid w:val="00565ED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3">
    <w:name w:val="Medium Grid 1 Accent 3"/>
    <w:basedOn w:val="Normlntabulka"/>
    <w:uiPriority w:val="67"/>
    <w:rsid w:val="00565ED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rsid w:val="00565ED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Stednmka1zvraznn31">
    <w:name w:val="Střední mřížka 1 – zvýraznění 31"/>
    <w:basedOn w:val="Normlntabulka"/>
    <w:next w:val="Stednmka1zvraznn3"/>
    <w:uiPriority w:val="67"/>
    <w:rsid w:val="00565ED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Stednmka1zvraznn62">
    <w:name w:val="Střední mřížka 1 – zvýraznění 62"/>
    <w:basedOn w:val="Normlntabulka"/>
    <w:next w:val="Stednmka1zvraznn6"/>
    <w:uiPriority w:val="67"/>
    <w:rsid w:val="00565ED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mka1zvraznn21">
    <w:name w:val="Střední mřížka 1 – zvýraznění 21"/>
    <w:basedOn w:val="Normlntabulka"/>
    <w:next w:val="Stednmka1zvraznn2"/>
    <w:uiPriority w:val="67"/>
    <w:rsid w:val="00565ED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ednmka1zvraznn22">
    <w:name w:val="Střední mřížka 1 – zvýraznění 22"/>
    <w:basedOn w:val="Normlntabulka"/>
    <w:next w:val="Stednmka1zvraznn2"/>
    <w:uiPriority w:val="67"/>
    <w:rsid w:val="00565ED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ednmka1zvraznn41">
    <w:name w:val="Střední mřížka 1 – zvýraznění 41"/>
    <w:basedOn w:val="Normlntabulka"/>
    <w:next w:val="Stednmka1zvraznn4"/>
    <w:uiPriority w:val="67"/>
    <w:rsid w:val="00565ED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Stednmka1zvraznn32">
    <w:name w:val="Střední mřížka 1 – zvýraznění 32"/>
    <w:basedOn w:val="Normlntabulka"/>
    <w:next w:val="Stednmka1zvraznn3"/>
    <w:uiPriority w:val="67"/>
    <w:rsid w:val="000D1D7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5">
    <w:name w:val="Medium Grid 1 Accent 5"/>
    <w:basedOn w:val="Normlntabulka"/>
    <w:uiPriority w:val="67"/>
    <w:rsid w:val="000D1D7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tednmka1zvraznn42">
    <w:name w:val="Střední mřížka 1 – zvýraznění 42"/>
    <w:basedOn w:val="Normlntabulka"/>
    <w:next w:val="Stednmka1zvraznn4"/>
    <w:uiPriority w:val="67"/>
    <w:rsid w:val="000D1D7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katabulky1">
    <w:name w:val="Mřížka tabulky1"/>
    <w:basedOn w:val="Normlntabulka"/>
    <w:next w:val="Mkatabulky"/>
    <w:uiPriority w:val="59"/>
    <w:rsid w:val="000D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dnmka1zvraznn23">
    <w:name w:val="Střední mřížka 1 – zvýraznění 23"/>
    <w:basedOn w:val="Normlntabulka"/>
    <w:next w:val="Stednmka1zvraznn2"/>
    <w:uiPriority w:val="67"/>
    <w:rsid w:val="000D1D7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ednmka1zvraznn63">
    <w:name w:val="Střední mřížka 1 – zvýraznění 63"/>
    <w:basedOn w:val="Normlntabulka"/>
    <w:next w:val="Stednmka1zvraznn6"/>
    <w:uiPriority w:val="67"/>
    <w:rsid w:val="000D1D7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katabulky2">
    <w:name w:val="Mřížka tabulky2"/>
    <w:basedOn w:val="Normlntabulka"/>
    <w:next w:val="Mkatabulky"/>
    <w:uiPriority w:val="59"/>
    <w:rsid w:val="000D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dnmka1zvraznn11">
    <w:name w:val="Střední mřížka 1 – zvýraznění 11"/>
    <w:basedOn w:val="Normlntabulka"/>
    <w:next w:val="Stednmka1zvraznn1"/>
    <w:uiPriority w:val="67"/>
    <w:rsid w:val="000D1D7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tednmka1zvraznn51">
    <w:name w:val="Střední mřížka 1 – zvýraznění 51"/>
    <w:basedOn w:val="Normlntabulka"/>
    <w:next w:val="Stednmka1zvraznn5"/>
    <w:uiPriority w:val="67"/>
    <w:rsid w:val="000D1D7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katabulky3">
    <w:name w:val="Mřížka tabulky3"/>
    <w:basedOn w:val="Normlntabulka"/>
    <w:next w:val="Mkatabulky"/>
    <w:uiPriority w:val="59"/>
    <w:rsid w:val="000D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dnmka1zvraznn33">
    <w:name w:val="Střední mřížka 1 – zvýraznění 33"/>
    <w:basedOn w:val="Normlntabulka"/>
    <w:next w:val="Stednmka1zvraznn3"/>
    <w:uiPriority w:val="67"/>
    <w:rsid w:val="000D1D7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Nadpis4Char">
    <w:name w:val="Nadpis 4 Char"/>
    <w:basedOn w:val="Standardnpsmoodstavce"/>
    <w:link w:val="Nadpis4"/>
    <w:uiPriority w:val="9"/>
    <w:rsid w:val="00DD261D"/>
    <w:rPr>
      <w:rFonts w:ascii="Arial" w:eastAsiaTheme="majorEastAsia" w:hAnsi="Arial" w:cstheme="majorBidi"/>
      <w:b/>
      <w:bCs/>
      <w:iCs/>
      <w:sz w:val="24"/>
    </w:rPr>
  </w:style>
  <w:style w:type="paragraph" w:styleId="Obsah4">
    <w:name w:val="toc 4"/>
    <w:basedOn w:val="Normln"/>
    <w:next w:val="Normln"/>
    <w:autoRedefine/>
    <w:uiPriority w:val="39"/>
    <w:unhideWhenUsed/>
    <w:rsid w:val="00996CAC"/>
    <w:pPr>
      <w:spacing w:after="100"/>
      <w:ind w:left="720"/>
    </w:pPr>
  </w:style>
  <w:style w:type="table" w:customStyle="1" w:styleId="Mkatabulky4">
    <w:name w:val="Mřížka tabulky4"/>
    <w:basedOn w:val="Normlntabulka"/>
    <w:next w:val="Mkatabulky"/>
    <w:uiPriority w:val="59"/>
    <w:rsid w:val="0022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22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F3551D"/>
    <w:pPr>
      <w:tabs>
        <w:tab w:val="center" w:pos="4536"/>
        <w:tab w:val="right" w:pos="9072"/>
      </w:tabs>
      <w:spacing w:before="0"/>
    </w:pPr>
  </w:style>
  <w:style w:type="character" w:customStyle="1" w:styleId="ZhlavChar">
    <w:name w:val="Záhlaví Char"/>
    <w:basedOn w:val="Standardnpsmoodstavce"/>
    <w:link w:val="Zhlav"/>
    <w:uiPriority w:val="99"/>
    <w:rsid w:val="00F3551D"/>
    <w:rPr>
      <w:rFonts w:ascii="Arial" w:hAnsi="Arial"/>
      <w:sz w:val="24"/>
    </w:rPr>
  </w:style>
  <w:style w:type="paragraph" w:styleId="Zpat">
    <w:name w:val="footer"/>
    <w:basedOn w:val="Normln"/>
    <w:link w:val="ZpatChar"/>
    <w:uiPriority w:val="99"/>
    <w:unhideWhenUsed/>
    <w:rsid w:val="00F3551D"/>
    <w:pPr>
      <w:tabs>
        <w:tab w:val="center" w:pos="4536"/>
        <w:tab w:val="right" w:pos="9072"/>
      </w:tabs>
      <w:spacing w:before="0"/>
    </w:pPr>
  </w:style>
  <w:style w:type="character" w:customStyle="1" w:styleId="ZpatChar">
    <w:name w:val="Zápatí Char"/>
    <w:basedOn w:val="Standardnpsmoodstavce"/>
    <w:link w:val="Zpat"/>
    <w:uiPriority w:val="99"/>
    <w:rsid w:val="00F3551D"/>
    <w:rPr>
      <w:rFonts w:ascii="Arial" w:hAnsi="Arial"/>
      <w:sz w:val="24"/>
    </w:rPr>
  </w:style>
  <w:style w:type="paragraph" w:styleId="Seznamobrzk">
    <w:name w:val="table of figures"/>
    <w:basedOn w:val="Normln"/>
    <w:next w:val="Normln"/>
    <w:uiPriority w:val="99"/>
    <w:unhideWhenUsed/>
    <w:rsid w:val="0072544D"/>
  </w:style>
  <w:style w:type="table" w:customStyle="1" w:styleId="Stednmka1zvraznn43">
    <w:name w:val="Střední mřížka 1 – zvýraznění 43"/>
    <w:basedOn w:val="Normlntabulka"/>
    <w:next w:val="Stednmka1zvraznn4"/>
    <w:uiPriority w:val="67"/>
    <w:rsid w:val="00CB4EC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C8D"/>
    <w:pPr>
      <w:spacing w:before="120" w:after="0" w:line="240" w:lineRule="auto"/>
      <w:jc w:val="both"/>
    </w:pPr>
    <w:rPr>
      <w:rFonts w:ascii="Arial" w:hAnsi="Arial"/>
      <w:sz w:val="24"/>
    </w:rPr>
  </w:style>
  <w:style w:type="paragraph" w:styleId="Nadpis1">
    <w:name w:val="heading 1"/>
    <w:basedOn w:val="Normln"/>
    <w:next w:val="Normln"/>
    <w:link w:val="Nadpis1Char"/>
    <w:uiPriority w:val="9"/>
    <w:qFormat/>
    <w:rsid w:val="007D3210"/>
    <w:pPr>
      <w:keepNext/>
      <w:keepLines/>
      <w:numPr>
        <w:numId w:val="31"/>
      </w:numPr>
      <w:spacing w:before="480"/>
      <w:jc w:val="center"/>
      <w:outlineLvl w:val="0"/>
    </w:pPr>
    <w:rPr>
      <w:rFonts w:eastAsiaTheme="majorEastAsia" w:cstheme="majorBidi"/>
      <w:b/>
      <w:bCs/>
      <w:color w:val="FF0000"/>
      <w:sz w:val="28"/>
      <w:szCs w:val="28"/>
    </w:rPr>
  </w:style>
  <w:style w:type="paragraph" w:styleId="Nadpis2">
    <w:name w:val="heading 2"/>
    <w:basedOn w:val="Normln"/>
    <w:next w:val="Normln"/>
    <w:link w:val="Nadpis2Char"/>
    <w:uiPriority w:val="9"/>
    <w:unhideWhenUsed/>
    <w:qFormat/>
    <w:rsid w:val="00DD261D"/>
    <w:pPr>
      <w:keepNext/>
      <w:keepLines/>
      <w:numPr>
        <w:ilvl w:val="1"/>
        <w:numId w:val="31"/>
      </w:numPr>
      <w:spacing w:before="200"/>
      <w:jc w:val="left"/>
      <w:outlineLvl w:val="1"/>
    </w:pPr>
    <w:rPr>
      <w:rFonts w:eastAsiaTheme="majorEastAsia" w:cstheme="majorBidi"/>
      <w:b/>
      <w:bCs/>
      <w:color w:val="548DD4" w:themeColor="text2" w:themeTint="99"/>
      <w:sz w:val="28"/>
      <w:szCs w:val="26"/>
    </w:rPr>
  </w:style>
  <w:style w:type="paragraph" w:styleId="Nadpis3">
    <w:name w:val="heading 3"/>
    <w:basedOn w:val="Normln"/>
    <w:next w:val="Normln"/>
    <w:link w:val="Nadpis3Char"/>
    <w:uiPriority w:val="9"/>
    <w:unhideWhenUsed/>
    <w:qFormat/>
    <w:rsid w:val="00DD261D"/>
    <w:pPr>
      <w:keepNext/>
      <w:keepLines/>
      <w:numPr>
        <w:ilvl w:val="2"/>
        <w:numId w:val="31"/>
      </w:numPr>
      <w:spacing w:before="200"/>
      <w:jc w:val="left"/>
      <w:outlineLvl w:val="2"/>
    </w:pPr>
    <w:rPr>
      <w:rFonts w:eastAsiaTheme="majorEastAsia" w:cstheme="majorBidi"/>
      <w:b/>
      <w:bCs/>
      <w:color w:val="00B050"/>
    </w:rPr>
  </w:style>
  <w:style w:type="paragraph" w:styleId="Nadpis4">
    <w:name w:val="heading 4"/>
    <w:basedOn w:val="Normln"/>
    <w:next w:val="Normln"/>
    <w:link w:val="Nadpis4Char"/>
    <w:uiPriority w:val="9"/>
    <w:unhideWhenUsed/>
    <w:qFormat/>
    <w:rsid w:val="00DD261D"/>
    <w:pPr>
      <w:keepNext/>
      <w:keepLines/>
      <w:spacing w:before="200"/>
      <w:jc w:val="center"/>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3C29E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D5C8D"/>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D5C8D"/>
    <w:rPr>
      <w:rFonts w:ascii="Tahoma" w:hAnsi="Tahoma" w:cs="Tahoma"/>
      <w:sz w:val="16"/>
      <w:szCs w:val="16"/>
    </w:rPr>
  </w:style>
  <w:style w:type="paragraph" w:styleId="Zkladntext3">
    <w:name w:val="Body Text 3"/>
    <w:basedOn w:val="Normln"/>
    <w:link w:val="Zkladntext3Char"/>
    <w:rsid w:val="00DE0F44"/>
    <w:pPr>
      <w:spacing w:line="360" w:lineRule="auto"/>
    </w:pPr>
    <w:rPr>
      <w:rFonts w:ascii="Arial Narrow" w:eastAsia="Times New Roman" w:hAnsi="Arial Narrow" w:cs="Times New Roman"/>
      <w:szCs w:val="24"/>
      <w:lang w:eastAsia="cs-CZ"/>
    </w:rPr>
  </w:style>
  <w:style w:type="character" w:customStyle="1" w:styleId="Zkladntext3Char">
    <w:name w:val="Základní text 3 Char"/>
    <w:basedOn w:val="Standardnpsmoodstavce"/>
    <w:link w:val="Zkladntext3"/>
    <w:rsid w:val="00DE0F44"/>
    <w:rPr>
      <w:rFonts w:ascii="Arial Narrow" w:eastAsia="Times New Roman" w:hAnsi="Arial Narrow" w:cs="Times New Roman"/>
      <w:sz w:val="24"/>
      <w:szCs w:val="24"/>
      <w:lang w:eastAsia="cs-CZ"/>
    </w:rPr>
  </w:style>
  <w:style w:type="paragraph" w:styleId="Textpoznpodarou">
    <w:name w:val="footnote text"/>
    <w:basedOn w:val="Normln"/>
    <w:link w:val="TextpoznpodarouChar"/>
    <w:unhideWhenUsed/>
    <w:rsid w:val="00DE0F44"/>
    <w:rPr>
      <w:sz w:val="20"/>
      <w:szCs w:val="20"/>
    </w:rPr>
  </w:style>
  <w:style w:type="character" w:customStyle="1" w:styleId="TextpoznpodarouChar">
    <w:name w:val="Text pozn. pod čarou Char"/>
    <w:basedOn w:val="Standardnpsmoodstavce"/>
    <w:link w:val="Textpoznpodarou"/>
    <w:rsid w:val="00DE0F44"/>
    <w:rPr>
      <w:rFonts w:ascii="Arial" w:hAnsi="Arial"/>
      <w:sz w:val="20"/>
      <w:szCs w:val="20"/>
    </w:rPr>
  </w:style>
  <w:style w:type="character" w:styleId="Znakapoznpodarou">
    <w:name w:val="footnote reference"/>
    <w:basedOn w:val="Standardnpsmoodstavce"/>
    <w:uiPriority w:val="99"/>
    <w:unhideWhenUsed/>
    <w:rsid w:val="00DE0F44"/>
    <w:rPr>
      <w:vertAlign w:val="superscript"/>
    </w:rPr>
  </w:style>
  <w:style w:type="paragraph" w:styleId="Odstavecseseznamem">
    <w:name w:val="List Paragraph"/>
    <w:basedOn w:val="Normln"/>
    <w:uiPriority w:val="34"/>
    <w:qFormat/>
    <w:rsid w:val="00C43824"/>
    <w:pPr>
      <w:ind w:left="720"/>
      <w:contextualSpacing/>
    </w:pPr>
  </w:style>
  <w:style w:type="table" w:styleId="Mkatabulky">
    <w:name w:val="Table Grid"/>
    <w:basedOn w:val="Normlntabulka"/>
    <w:uiPriority w:val="59"/>
    <w:rsid w:val="00016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0169D5"/>
    <w:pPr>
      <w:spacing w:before="0" w:after="60"/>
    </w:pPr>
    <w:rPr>
      <w:b/>
      <w:bCs/>
      <w:color w:val="0D0D0D" w:themeColor="text1" w:themeTint="F2"/>
      <w:sz w:val="20"/>
      <w:szCs w:val="18"/>
    </w:rPr>
  </w:style>
  <w:style w:type="paragraph" w:styleId="Normlnweb">
    <w:name w:val="Normal (Web)"/>
    <w:basedOn w:val="Normln"/>
    <w:uiPriority w:val="99"/>
    <w:unhideWhenUsed/>
    <w:rsid w:val="003D0EA9"/>
    <w:pPr>
      <w:spacing w:before="100" w:beforeAutospacing="1" w:after="100" w:afterAutospacing="1"/>
      <w:jc w:val="left"/>
    </w:pPr>
    <w:rPr>
      <w:rFonts w:ascii="Times New Roman" w:eastAsiaTheme="minorEastAsia" w:hAnsi="Times New Roman" w:cs="Times New Roman"/>
      <w:szCs w:val="24"/>
      <w:lang w:eastAsia="cs-CZ"/>
    </w:rPr>
  </w:style>
  <w:style w:type="character" w:customStyle="1" w:styleId="Nadpis1Char">
    <w:name w:val="Nadpis 1 Char"/>
    <w:basedOn w:val="Standardnpsmoodstavce"/>
    <w:link w:val="Nadpis1"/>
    <w:uiPriority w:val="9"/>
    <w:rsid w:val="007D3210"/>
    <w:rPr>
      <w:rFonts w:ascii="Arial" w:eastAsiaTheme="majorEastAsia" w:hAnsi="Arial" w:cstheme="majorBidi"/>
      <w:b/>
      <w:bCs/>
      <w:color w:val="FF0000"/>
      <w:sz w:val="28"/>
      <w:szCs w:val="28"/>
    </w:rPr>
  </w:style>
  <w:style w:type="paragraph" w:styleId="Nadpisobsahu">
    <w:name w:val="TOC Heading"/>
    <w:basedOn w:val="Nadpis1"/>
    <w:next w:val="Normln"/>
    <w:uiPriority w:val="39"/>
    <w:unhideWhenUsed/>
    <w:qFormat/>
    <w:rsid w:val="00A041DF"/>
    <w:pPr>
      <w:spacing w:line="276" w:lineRule="auto"/>
      <w:outlineLvl w:val="9"/>
    </w:pPr>
    <w:rPr>
      <w:lang w:eastAsia="cs-CZ"/>
    </w:rPr>
  </w:style>
  <w:style w:type="character" w:customStyle="1" w:styleId="Nadpis2Char">
    <w:name w:val="Nadpis 2 Char"/>
    <w:basedOn w:val="Standardnpsmoodstavce"/>
    <w:link w:val="Nadpis2"/>
    <w:uiPriority w:val="9"/>
    <w:rsid w:val="00DD261D"/>
    <w:rPr>
      <w:rFonts w:ascii="Arial" w:eastAsiaTheme="majorEastAsia" w:hAnsi="Arial" w:cstheme="majorBidi"/>
      <w:b/>
      <w:bCs/>
      <w:color w:val="548DD4" w:themeColor="text2" w:themeTint="99"/>
      <w:sz w:val="28"/>
      <w:szCs w:val="26"/>
    </w:rPr>
  </w:style>
  <w:style w:type="paragraph" w:styleId="Obsah1">
    <w:name w:val="toc 1"/>
    <w:basedOn w:val="Normln"/>
    <w:next w:val="Normln"/>
    <w:autoRedefine/>
    <w:uiPriority w:val="39"/>
    <w:unhideWhenUsed/>
    <w:rsid w:val="00AE17C3"/>
    <w:pPr>
      <w:tabs>
        <w:tab w:val="left" w:pos="426"/>
        <w:tab w:val="right" w:leader="dot" w:pos="9062"/>
      </w:tabs>
      <w:spacing w:after="100"/>
    </w:pPr>
  </w:style>
  <w:style w:type="paragraph" w:styleId="Obsah2">
    <w:name w:val="toc 2"/>
    <w:basedOn w:val="Normln"/>
    <w:next w:val="Normln"/>
    <w:autoRedefine/>
    <w:uiPriority w:val="39"/>
    <w:unhideWhenUsed/>
    <w:rsid w:val="00996CAC"/>
    <w:pPr>
      <w:tabs>
        <w:tab w:val="left" w:pos="567"/>
        <w:tab w:val="right" w:leader="dot" w:pos="9062"/>
      </w:tabs>
      <w:spacing w:after="100"/>
      <w:ind w:left="142"/>
    </w:pPr>
  </w:style>
  <w:style w:type="character" w:styleId="Hypertextovodkaz">
    <w:name w:val="Hyperlink"/>
    <w:basedOn w:val="Standardnpsmoodstavce"/>
    <w:uiPriority w:val="99"/>
    <w:unhideWhenUsed/>
    <w:rsid w:val="00A03E6F"/>
    <w:rPr>
      <w:color w:val="0000FF" w:themeColor="hyperlink"/>
      <w:u w:val="single"/>
    </w:rPr>
  </w:style>
  <w:style w:type="character" w:customStyle="1" w:styleId="Nadpis5Char">
    <w:name w:val="Nadpis 5 Char"/>
    <w:basedOn w:val="Standardnpsmoodstavce"/>
    <w:link w:val="Nadpis5"/>
    <w:uiPriority w:val="9"/>
    <w:semiHidden/>
    <w:rsid w:val="003C29E2"/>
    <w:rPr>
      <w:rFonts w:asciiTheme="majorHAnsi" w:eastAsiaTheme="majorEastAsia" w:hAnsiTheme="majorHAnsi" w:cstheme="majorBidi"/>
      <w:color w:val="243F60" w:themeColor="accent1" w:themeShade="7F"/>
      <w:sz w:val="24"/>
    </w:rPr>
  </w:style>
  <w:style w:type="character" w:customStyle="1" w:styleId="Nadpis3Char">
    <w:name w:val="Nadpis 3 Char"/>
    <w:basedOn w:val="Standardnpsmoodstavce"/>
    <w:link w:val="Nadpis3"/>
    <w:uiPriority w:val="9"/>
    <w:rsid w:val="00DD261D"/>
    <w:rPr>
      <w:rFonts w:ascii="Arial" w:eastAsiaTheme="majorEastAsia" w:hAnsi="Arial" w:cstheme="majorBidi"/>
      <w:b/>
      <w:bCs/>
      <w:color w:val="00B050"/>
      <w:sz w:val="24"/>
    </w:rPr>
  </w:style>
  <w:style w:type="paragraph" w:styleId="Obsah3">
    <w:name w:val="toc 3"/>
    <w:basedOn w:val="Normln"/>
    <w:next w:val="Normln"/>
    <w:autoRedefine/>
    <w:uiPriority w:val="39"/>
    <w:unhideWhenUsed/>
    <w:rsid w:val="00426EFF"/>
    <w:pPr>
      <w:tabs>
        <w:tab w:val="left" w:pos="426"/>
        <w:tab w:val="left" w:pos="1100"/>
        <w:tab w:val="right" w:leader="dot" w:pos="9062"/>
      </w:tabs>
      <w:spacing w:after="100"/>
      <w:jc w:val="left"/>
    </w:pPr>
  </w:style>
  <w:style w:type="table" w:styleId="Stednmka1zvraznn1">
    <w:name w:val="Medium Grid 1 Accent 1"/>
    <w:basedOn w:val="Normlntabulka"/>
    <w:uiPriority w:val="67"/>
    <w:rsid w:val="00565ED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6">
    <w:name w:val="Medium Grid 1 Accent 6"/>
    <w:basedOn w:val="Normlntabulka"/>
    <w:uiPriority w:val="67"/>
    <w:rsid w:val="00565ED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2">
    <w:name w:val="Medium Grid 1 Accent 2"/>
    <w:basedOn w:val="Normlntabulka"/>
    <w:uiPriority w:val="67"/>
    <w:rsid w:val="00565ED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ednmka1zvraznn61">
    <w:name w:val="Střední mřížka 1 – zvýraznění 61"/>
    <w:basedOn w:val="Normlntabulka"/>
    <w:next w:val="Stednmka1zvraznn6"/>
    <w:uiPriority w:val="67"/>
    <w:rsid w:val="00565ED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3">
    <w:name w:val="Medium Grid 1 Accent 3"/>
    <w:basedOn w:val="Normlntabulka"/>
    <w:uiPriority w:val="67"/>
    <w:rsid w:val="00565ED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rsid w:val="00565ED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Stednmka1zvraznn31">
    <w:name w:val="Střední mřížka 1 – zvýraznění 31"/>
    <w:basedOn w:val="Normlntabulka"/>
    <w:next w:val="Stednmka1zvraznn3"/>
    <w:uiPriority w:val="67"/>
    <w:rsid w:val="00565ED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Stednmka1zvraznn62">
    <w:name w:val="Střední mřížka 1 – zvýraznění 62"/>
    <w:basedOn w:val="Normlntabulka"/>
    <w:next w:val="Stednmka1zvraznn6"/>
    <w:uiPriority w:val="67"/>
    <w:rsid w:val="00565ED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mka1zvraznn21">
    <w:name w:val="Střední mřížka 1 – zvýraznění 21"/>
    <w:basedOn w:val="Normlntabulka"/>
    <w:next w:val="Stednmka1zvraznn2"/>
    <w:uiPriority w:val="67"/>
    <w:rsid w:val="00565ED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ednmka1zvraznn22">
    <w:name w:val="Střední mřížka 1 – zvýraznění 22"/>
    <w:basedOn w:val="Normlntabulka"/>
    <w:next w:val="Stednmka1zvraznn2"/>
    <w:uiPriority w:val="67"/>
    <w:rsid w:val="00565ED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ednmka1zvraznn41">
    <w:name w:val="Střední mřížka 1 – zvýraznění 41"/>
    <w:basedOn w:val="Normlntabulka"/>
    <w:next w:val="Stednmka1zvraznn4"/>
    <w:uiPriority w:val="67"/>
    <w:rsid w:val="00565ED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Stednmka1zvraznn32">
    <w:name w:val="Střední mřížka 1 – zvýraznění 32"/>
    <w:basedOn w:val="Normlntabulka"/>
    <w:next w:val="Stednmka1zvraznn3"/>
    <w:uiPriority w:val="67"/>
    <w:rsid w:val="000D1D7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5">
    <w:name w:val="Medium Grid 1 Accent 5"/>
    <w:basedOn w:val="Normlntabulka"/>
    <w:uiPriority w:val="67"/>
    <w:rsid w:val="000D1D7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tednmka1zvraznn42">
    <w:name w:val="Střední mřížka 1 – zvýraznění 42"/>
    <w:basedOn w:val="Normlntabulka"/>
    <w:next w:val="Stednmka1zvraznn4"/>
    <w:uiPriority w:val="67"/>
    <w:rsid w:val="000D1D7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katabulky1">
    <w:name w:val="Mřížka tabulky1"/>
    <w:basedOn w:val="Normlntabulka"/>
    <w:next w:val="Mkatabulky"/>
    <w:uiPriority w:val="59"/>
    <w:rsid w:val="000D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dnmka1zvraznn23">
    <w:name w:val="Střední mřížka 1 – zvýraznění 23"/>
    <w:basedOn w:val="Normlntabulka"/>
    <w:next w:val="Stednmka1zvraznn2"/>
    <w:uiPriority w:val="67"/>
    <w:rsid w:val="000D1D7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ednmka1zvraznn63">
    <w:name w:val="Střední mřížka 1 – zvýraznění 63"/>
    <w:basedOn w:val="Normlntabulka"/>
    <w:next w:val="Stednmka1zvraznn6"/>
    <w:uiPriority w:val="67"/>
    <w:rsid w:val="000D1D7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katabulky2">
    <w:name w:val="Mřížka tabulky2"/>
    <w:basedOn w:val="Normlntabulka"/>
    <w:next w:val="Mkatabulky"/>
    <w:uiPriority w:val="59"/>
    <w:rsid w:val="000D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dnmka1zvraznn11">
    <w:name w:val="Střední mřížka 1 – zvýraznění 11"/>
    <w:basedOn w:val="Normlntabulka"/>
    <w:next w:val="Stednmka1zvraznn1"/>
    <w:uiPriority w:val="67"/>
    <w:rsid w:val="000D1D7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tednmka1zvraznn51">
    <w:name w:val="Střední mřížka 1 – zvýraznění 51"/>
    <w:basedOn w:val="Normlntabulka"/>
    <w:next w:val="Stednmka1zvraznn5"/>
    <w:uiPriority w:val="67"/>
    <w:rsid w:val="000D1D7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katabulky3">
    <w:name w:val="Mřížka tabulky3"/>
    <w:basedOn w:val="Normlntabulka"/>
    <w:next w:val="Mkatabulky"/>
    <w:uiPriority w:val="59"/>
    <w:rsid w:val="000D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dnmka1zvraznn33">
    <w:name w:val="Střední mřížka 1 – zvýraznění 33"/>
    <w:basedOn w:val="Normlntabulka"/>
    <w:next w:val="Stednmka1zvraznn3"/>
    <w:uiPriority w:val="67"/>
    <w:rsid w:val="000D1D7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Nadpis4Char">
    <w:name w:val="Nadpis 4 Char"/>
    <w:basedOn w:val="Standardnpsmoodstavce"/>
    <w:link w:val="Nadpis4"/>
    <w:uiPriority w:val="9"/>
    <w:rsid w:val="00DD261D"/>
    <w:rPr>
      <w:rFonts w:ascii="Arial" w:eastAsiaTheme="majorEastAsia" w:hAnsi="Arial" w:cstheme="majorBidi"/>
      <w:b/>
      <w:bCs/>
      <w:iCs/>
      <w:sz w:val="24"/>
    </w:rPr>
  </w:style>
  <w:style w:type="paragraph" w:styleId="Obsah4">
    <w:name w:val="toc 4"/>
    <w:basedOn w:val="Normln"/>
    <w:next w:val="Normln"/>
    <w:autoRedefine/>
    <w:uiPriority w:val="39"/>
    <w:unhideWhenUsed/>
    <w:rsid w:val="00996CAC"/>
    <w:pPr>
      <w:spacing w:after="100"/>
      <w:ind w:left="720"/>
    </w:pPr>
  </w:style>
  <w:style w:type="table" w:customStyle="1" w:styleId="Mkatabulky4">
    <w:name w:val="Mřížka tabulky4"/>
    <w:basedOn w:val="Normlntabulka"/>
    <w:next w:val="Mkatabulky"/>
    <w:uiPriority w:val="59"/>
    <w:rsid w:val="0022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22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F3551D"/>
    <w:pPr>
      <w:tabs>
        <w:tab w:val="center" w:pos="4536"/>
        <w:tab w:val="right" w:pos="9072"/>
      </w:tabs>
      <w:spacing w:before="0"/>
    </w:pPr>
  </w:style>
  <w:style w:type="character" w:customStyle="1" w:styleId="ZhlavChar">
    <w:name w:val="Záhlaví Char"/>
    <w:basedOn w:val="Standardnpsmoodstavce"/>
    <w:link w:val="Zhlav"/>
    <w:uiPriority w:val="99"/>
    <w:rsid w:val="00F3551D"/>
    <w:rPr>
      <w:rFonts w:ascii="Arial" w:hAnsi="Arial"/>
      <w:sz w:val="24"/>
    </w:rPr>
  </w:style>
  <w:style w:type="paragraph" w:styleId="Zpat">
    <w:name w:val="footer"/>
    <w:basedOn w:val="Normln"/>
    <w:link w:val="ZpatChar"/>
    <w:uiPriority w:val="99"/>
    <w:unhideWhenUsed/>
    <w:rsid w:val="00F3551D"/>
    <w:pPr>
      <w:tabs>
        <w:tab w:val="center" w:pos="4536"/>
        <w:tab w:val="right" w:pos="9072"/>
      </w:tabs>
      <w:spacing w:before="0"/>
    </w:pPr>
  </w:style>
  <w:style w:type="character" w:customStyle="1" w:styleId="ZpatChar">
    <w:name w:val="Zápatí Char"/>
    <w:basedOn w:val="Standardnpsmoodstavce"/>
    <w:link w:val="Zpat"/>
    <w:uiPriority w:val="99"/>
    <w:rsid w:val="00F3551D"/>
    <w:rPr>
      <w:rFonts w:ascii="Arial" w:hAnsi="Arial"/>
      <w:sz w:val="24"/>
    </w:rPr>
  </w:style>
  <w:style w:type="paragraph" w:styleId="Seznamobrzk">
    <w:name w:val="table of figures"/>
    <w:basedOn w:val="Normln"/>
    <w:next w:val="Normln"/>
    <w:uiPriority w:val="99"/>
    <w:unhideWhenUsed/>
    <w:rsid w:val="0072544D"/>
  </w:style>
  <w:style w:type="table" w:customStyle="1" w:styleId="Stednmka1zvraznn43">
    <w:name w:val="Střední mřížka 1 – zvýraznění 43"/>
    <w:basedOn w:val="Normlntabulka"/>
    <w:next w:val="Stednmka1zvraznn4"/>
    <w:uiPriority w:val="67"/>
    <w:rsid w:val="00CB4EC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297">
      <w:bodyDiv w:val="1"/>
      <w:marLeft w:val="0"/>
      <w:marRight w:val="0"/>
      <w:marTop w:val="0"/>
      <w:marBottom w:val="0"/>
      <w:divBdr>
        <w:top w:val="none" w:sz="0" w:space="0" w:color="auto"/>
        <w:left w:val="none" w:sz="0" w:space="0" w:color="auto"/>
        <w:bottom w:val="none" w:sz="0" w:space="0" w:color="auto"/>
        <w:right w:val="none" w:sz="0" w:space="0" w:color="auto"/>
      </w:divBdr>
    </w:div>
    <w:div w:id="205525858">
      <w:bodyDiv w:val="1"/>
      <w:marLeft w:val="0"/>
      <w:marRight w:val="0"/>
      <w:marTop w:val="0"/>
      <w:marBottom w:val="0"/>
      <w:divBdr>
        <w:top w:val="none" w:sz="0" w:space="0" w:color="auto"/>
        <w:left w:val="none" w:sz="0" w:space="0" w:color="auto"/>
        <w:bottom w:val="none" w:sz="0" w:space="0" w:color="auto"/>
        <w:right w:val="none" w:sz="0" w:space="0" w:color="auto"/>
      </w:divBdr>
    </w:div>
    <w:div w:id="352877890">
      <w:bodyDiv w:val="1"/>
      <w:marLeft w:val="0"/>
      <w:marRight w:val="0"/>
      <w:marTop w:val="0"/>
      <w:marBottom w:val="0"/>
      <w:divBdr>
        <w:top w:val="none" w:sz="0" w:space="0" w:color="auto"/>
        <w:left w:val="none" w:sz="0" w:space="0" w:color="auto"/>
        <w:bottom w:val="none" w:sz="0" w:space="0" w:color="auto"/>
        <w:right w:val="none" w:sz="0" w:space="0" w:color="auto"/>
      </w:divBdr>
      <w:divsChild>
        <w:div w:id="261110385">
          <w:marLeft w:val="547"/>
          <w:marRight w:val="0"/>
          <w:marTop w:val="0"/>
          <w:marBottom w:val="0"/>
          <w:divBdr>
            <w:top w:val="none" w:sz="0" w:space="0" w:color="auto"/>
            <w:left w:val="none" w:sz="0" w:space="0" w:color="auto"/>
            <w:bottom w:val="none" w:sz="0" w:space="0" w:color="auto"/>
            <w:right w:val="none" w:sz="0" w:space="0" w:color="auto"/>
          </w:divBdr>
        </w:div>
        <w:div w:id="1787196473">
          <w:marLeft w:val="547"/>
          <w:marRight w:val="0"/>
          <w:marTop w:val="0"/>
          <w:marBottom w:val="0"/>
          <w:divBdr>
            <w:top w:val="none" w:sz="0" w:space="0" w:color="auto"/>
            <w:left w:val="none" w:sz="0" w:space="0" w:color="auto"/>
            <w:bottom w:val="none" w:sz="0" w:space="0" w:color="auto"/>
            <w:right w:val="none" w:sz="0" w:space="0" w:color="auto"/>
          </w:divBdr>
        </w:div>
      </w:divsChild>
    </w:div>
    <w:div w:id="360009384">
      <w:bodyDiv w:val="1"/>
      <w:marLeft w:val="0"/>
      <w:marRight w:val="0"/>
      <w:marTop w:val="0"/>
      <w:marBottom w:val="0"/>
      <w:divBdr>
        <w:top w:val="none" w:sz="0" w:space="0" w:color="auto"/>
        <w:left w:val="none" w:sz="0" w:space="0" w:color="auto"/>
        <w:bottom w:val="none" w:sz="0" w:space="0" w:color="auto"/>
        <w:right w:val="none" w:sz="0" w:space="0" w:color="auto"/>
      </w:divBdr>
    </w:div>
    <w:div w:id="369456437">
      <w:bodyDiv w:val="1"/>
      <w:marLeft w:val="0"/>
      <w:marRight w:val="0"/>
      <w:marTop w:val="0"/>
      <w:marBottom w:val="0"/>
      <w:divBdr>
        <w:top w:val="none" w:sz="0" w:space="0" w:color="auto"/>
        <w:left w:val="none" w:sz="0" w:space="0" w:color="auto"/>
        <w:bottom w:val="none" w:sz="0" w:space="0" w:color="auto"/>
        <w:right w:val="none" w:sz="0" w:space="0" w:color="auto"/>
      </w:divBdr>
    </w:div>
    <w:div w:id="384840051">
      <w:bodyDiv w:val="1"/>
      <w:marLeft w:val="0"/>
      <w:marRight w:val="0"/>
      <w:marTop w:val="0"/>
      <w:marBottom w:val="0"/>
      <w:divBdr>
        <w:top w:val="none" w:sz="0" w:space="0" w:color="auto"/>
        <w:left w:val="none" w:sz="0" w:space="0" w:color="auto"/>
        <w:bottom w:val="none" w:sz="0" w:space="0" w:color="auto"/>
        <w:right w:val="none" w:sz="0" w:space="0" w:color="auto"/>
      </w:divBdr>
    </w:div>
    <w:div w:id="434178652">
      <w:bodyDiv w:val="1"/>
      <w:marLeft w:val="0"/>
      <w:marRight w:val="0"/>
      <w:marTop w:val="0"/>
      <w:marBottom w:val="0"/>
      <w:divBdr>
        <w:top w:val="none" w:sz="0" w:space="0" w:color="auto"/>
        <w:left w:val="none" w:sz="0" w:space="0" w:color="auto"/>
        <w:bottom w:val="none" w:sz="0" w:space="0" w:color="auto"/>
        <w:right w:val="none" w:sz="0" w:space="0" w:color="auto"/>
      </w:divBdr>
      <w:divsChild>
        <w:div w:id="1347635738">
          <w:marLeft w:val="547"/>
          <w:marRight w:val="0"/>
          <w:marTop w:val="0"/>
          <w:marBottom w:val="0"/>
          <w:divBdr>
            <w:top w:val="none" w:sz="0" w:space="0" w:color="auto"/>
            <w:left w:val="none" w:sz="0" w:space="0" w:color="auto"/>
            <w:bottom w:val="none" w:sz="0" w:space="0" w:color="auto"/>
            <w:right w:val="none" w:sz="0" w:space="0" w:color="auto"/>
          </w:divBdr>
        </w:div>
        <w:div w:id="1876967064">
          <w:marLeft w:val="547"/>
          <w:marRight w:val="0"/>
          <w:marTop w:val="0"/>
          <w:marBottom w:val="0"/>
          <w:divBdr>
            <w:top w:val="none" w:sz="0" w:space="0" w:color="auto"/>
            <w:left w:val="none" w:sz="0" w:space="0" w:color="auto"/>
            <w:bottom w:val="none" w:sz="0" w:space="0" w:color="auto"/>
            <w:right w:val="none" w:sz="0" w:space="0" w:color="auto"/>
          </w:divBdr>
        </w:div>
      </w:divsChild>
    </w:div>
    <w:div w:id="480005336">
      <w:bodyDiv w:val="1"/>
      <w:marLeft w:val="0"/>
      <w:marRight w:val="0"/>
      <w:marTop w:val="0"/>
      <w:marBottom w:val="0"/>
      <w:divBdr>
        <w:top w:val="none" w:sz="0" w:space="0" w:color="auto"/>
        <w:left w:val="none" w:sz="0" w:space="0" w:color="auto"/>
        <w:bottom w:val="none" w:sz="0" w:space="0" w:color="auto"/>
        <w:right w:val="none" w:sz="0" w:space="0" w:color="auto"/>
      </w:divBdr>
      <w:divsChild>
        <w:div w:id="420028611">
          <w:marLeft w:val="547"/>
          <w:marRight w:val="0"/>
          <w:marTop w:val="0"/>
          <w:marBottom w:val="0"/>
          <w:divBdr>
            <w:top w:val="none" w:sz="0" w:space="0" w:color="auto"/>
            <w:left w:val="none" w:sz="0" w:space="0" w:color="auto"/>
            <w:bottom w:val="none" w:sz="0" w:space="0" w:color="auto"/>
            <w:right w:val="none" w:sz="0" w:space="0" w:color="auto"/>
          </w:divBdr>
        </w:div>
        <w:div w:id="796608436">
          <w:marLeft w:val="547"/>
          <w:marRight w:val="0"/>
          <w:marTop w:val="0"/>
          <w:marBottom w:val="0"/>
          <w:divBdr>
            <w:top w:val="none" w:sz="0" w:space="0" w:color="auto"/>
            <w:left w:val="none" w:sz="0" w:space="0" w:color="auto"/>
            <w:bottom w:val="none" w:sz="0" w:space="0" w:color="auto"/>
            <w:right w:val="none" w:sz="0" w:space="0" w:color="auto"/>
          </w:divBdr>
        </w:div>
        <w:div w:id="1835759778">
          <w:marLeft w:val="547"/>
          <w:marRight w:val="0"/>
          <w:marTop w:val="0"/>
          <w:marBottom w:val="0"/>
          <w:divBdr>
            <w:top w:val="none" w:sz="0" w:space="0" w:color="auto"/>
            <w:left w:val="none" w:sz="0" w:space="0" w:color="auto"/>
            <w:bottom w:val="none" w:sz="0" w:space="0" w:color="auto"/>
            <w:right w:val="none" w:sz="0" w:space="0" w:color="auto"/>
          </w:divBdr>
        </w:div>
      </w:divsChild>
    </w:div>
    <w:div w:id="541018782">
      <w:bodyDiv w:val="1"/>
      <w:marLeft w:val="0"/>
      <w:marRight w:val="0"/>
      <w:marTop w:val="0"/>
      <w:marBottom w:val="0"/>
      <w:divBdr>
        <w:top w:val="none" w:sz="0" w:space="0" w:color="auto"/>
        <w:left w:val="none" w:sz="0" w:space="0" w:color="auto"/>
        <w:bottom w:val="none" w:sz="0" w:space="0" w:color="auto"/>
        <w:right w:val="none" w:sz="0" w:space="0" w:color="auto"/>
      </w:divBdr>
      <w:divsChild>
        <w:div w:id="150607690">
          <w:marLeft w:val="547"/>
          <w:marRight w:val="0"/>
          <w:marTop w:val="0"/>
          <w:marBottom w:val="0"/>
          <w:divBdr>
            <w:top w:val="none" w:sz="0" w:space="0" w:color="auto"/>
            <w:left w:val="none" w:sz="0" w:space="0" w:color="auto"/>
            <w:bottom w:val="none" w:sz="0" w:space="0" w:color="auto"/>
            <w:right w:val="none" w:sz="0" w:space="0" w:color="auto"/>
          </w:divBdr>
        </w:div>
        <w:div w:id="1816990683">
          <w:marLeft w:val="547"/>
          <w:marRight w:val="0"/>
          <w:marTop w:val="0"/>
          <w:marBottom w:val="0"/>
          <w:divBdr>
            <w:top w:val="none" w:sz="0" w:space="0" w:color="auto"/>
            <w:left w:val="none" w:sz="0" w:space="0" w:color="auto"/>
            <w:bottom w:val="none" w:sz="0" w:space="0" w:color="auto"/>
            <w:right w:val="none" w:sz="0" w:space="0" w:color="auto"/>
          </w:divBdr>
        </w:div>
      </w:divsChild>
    </w:div>
    <w:div w:id="650328441">
      <w:bodyDiv w:val="1"/>
      <w:marLeft w:val="0"/>
      <w:marRight w:val="0"/>
      <w:marTop w:val="0"/>
      <w:marBottom w:val="0"/>
      <w:divBdr>
        <w:top w:val="none" w:sz="0" w:space="0" w:color="auto"/>
        <w:left w:val="none" w:sz="0" w:space="0" w:color="auto"/>
        <w:bottom w:val="none" w:sz="0" w:space="0" w:color="auto"/>
        <w:right w:val="none" w:sz="0" w:space="0" w:color="auto"/>
      </w:divBdr>
    </w:div>
    <w:div w:id="666397832">
      <w:bodyDiv w:val="1"/>
      <w:marLeft w:val="0"/>
      <w:marRight w:val="0"/>
      <w:marTop w:val="0"/>
      <w:marBottom w:val="0"/>
      <w:divBdr>
        <w:top w:val="none" w:sz="0" w:space="0" w:color="auto"/>
        <w:left w:val="none" w:sz="0" w:space="0" w:color="auto"/>
        <w:bottom w:val="none" w:sz="0" w:space="0" w:color="auto"/>
        <w:right w:val="none" w:sz="0" w:space="0" w:color="auto"/>
      </w:divBdr>
      <w:divsChild>
        <w:div w:id="1159425829">
          <w:marLeft w:val="547"/>
          <w:marRight w:val="0"/>
          <w:marTop w:val="0"/>
          <w:marBottom w:val="0"/>
          <w:divBdr>
            <w:top w:val="none" w:sz="0" w:space="0" w:color="auto"/>
            <w:left w:val="none" w:sz="0" w:space="0" w:color="auto"/>
            <w:bottom w:val="none" w:sz="0" w:space="0" w:color="auto"/>
            <w:right w:val="none" w:sz="0" w:space="0" w:color="auto"/>
          </w:divBdr>
        </w:div>
        <w:div w:id="1119296871">
          <w:marLeft w:val="547"/>
          <w:marRight w:val="0"/>
          <w:marTop w:val="0"/>
          <w:marBottom w:val="0"/>
          <w:divBdr>
            <w:top w:val="none" w:sz="0" w:space="0" w:color="auto"/>
            <w:left w:val="none" w:sz="0" w:space="0" w:color="auto"/>
            <w:bottom w:val="none" w:sz="0" w:space="0" w:color="auto"/>
            <w:right w:val="none" w:sz="0" w:space="0" w:color="auto"/>
          </w:divBdr>
        </w:div>
      </w:divsChild>
    </w:div>
    <w:div w:id="691492173">
      <w:bodyDiv w:val="1"/>
      <w:marLeft w:val="0"/>
      <w:marRight w:val="0"/>
      <w:marTop w:val="0"/>
      <w:marBottom w:val="0"/>
      <w:divBdr>
        <w:top w:val="none" w:sz="0" w:space="0" w:color="auto"/>
        <w:left w:val="none" w:sz="0" w:space="0" w:color="auto"/>
        <w:bottom w:val="none" w:sz="0" w:space="0" w:color="auto"/>
        <w:right w:val="none" w:sz="0" w:space="0" w:color="auto"/>
      </w:divBdr>
      <w:divsChild>
        <w:div w:id="256447369">
          <w:marLeft w:val="547"/>
          <w:marRight w:val="0"/>
          <w:marTop w:val="0"/>
          <w:marBottom w:val="0"/>
          <w:divBdr>
            <w:top w:val="none" w:sz="0" w:space="0" w:color="auto"/>
            <w:left w:val="none" w:sz="0" w:space="0" w:color="auto"/>
            <w:bottom w:val="none" w:sz="0" w:space="0" w:color="auto"/>
            <w:right w:val="none" w:sz="0" w:space="0" w:color="auto"/>
          </w:divBdr>
        </w:div>
        <w:div w:id="1202860360">
          <w:marLeft w:val="547"/>
          <w:marRight w:val="0"/>
          <w:marTop w:val="0"/>
          <w:marBottom w:val="0"/>
          <w:divBdr>
            <w:top w:val="none" w:sz="0" w:space="0" w:color="auto"/>
            <w:left w:val="none" w:sz="0" w:space="0" w:color="auto"/>
            <w:bottom w:val="none" w:sz="0" w:space="0" w:color="auto"/>
            <w:right w:val="none" w:sz="0" w:space="0" w:color="auto"/>
          </w:divBdr>
        </w:div>
        <w:div w:id="900555168">
          <w:marLeft w:val="547"/>
          <w:marRight w:val="0"/>
          <w:marTop w:val="0"/>
          <w:marBottom w:val="0"/>
          <w:divBdr>
            <w:top w:val="none" w:sz="0" w:space="0" w:color="auto"/>
            <w:left w:val="none" w:sz="0" w:space="0" w:color="auto"/>
            <w:bottom w:val="none" w:sz="0" w:space="0" w:color="auto"/>
            <w:right w:val="none" w:sz="0" w:space="0" w:color="auto"/>
          </w:divBdr>
        </w:div>
        <w:div w:id="287708658">
          <w:marLeft w:val="547"/>
          <w:marRight w:val="0"/>
          <w:marTop w:val="0"/>
          <w:marBottom w:val="0"/>
          <w:divBdr>
            <w:top w:val="none" w:sz="0" w:space="0" w:color="auto"/>
            <w:left w:val="none" w:sz="0" w:space="0" w:color="auto"/>
            <w:bottom w:val="none" w:sz="0" w:space="0" w:color="auto"/>
            <w:right w:val="none" w:sz="0" w:space="0" w:color="auto"/>
          </w:divBdr>
        </w:div>
        <w:div w:id="1556162241">
          <w:marLeft w:val="547"/>
          <w:marRight w:val="0"/>
          <w:marTop w:val="0"/>
          <w:marBottom w:val="0"/>
          <w:divBdr>
            <w:top w:val="none" w:sz="0" w:space="0" w:color="auto"/>
            <w:left w:val="none" w:sz="0" w:space="0" w:color="auto"/>
            <w:bottom w:val="none" w:sz="0" w:space="0" w:color="auto"/>
            <w:right w:val="none" w:sz="0" w:space="0" w:color="auto"/>
          </w:divBdr>
        </w:div>
        <w:div w:id="85393682">
          <w:marLeft w:val="547"/>
          <w:marRight w:val="0"/>
          <w:marTop w:val="0"/>
          <w:marBottom w:val="0"/>
          <w:divBdr>
            <w:top w:val="none" w:sz="0" w:space="0" w:color="auto"/>
            <w:left w:val="none" w:sz="0" w:space="0" w:color="auto"/>
            <w:bottom w:val="none" w:sz="0" w:space="0" w:color="auto"/>
            <w:right w:val="none" w:sz="0" w:space="0" w:color="auto"/>
          </w:divBdr>
        </w:div>
        <w:div w:id="1448308592">
          <w:marLeft w:val="547"/>
          <w:marRight w:val="0"/>
          <w:marTop w:val="0"/>
          <w:marBottom w:val="0"/>
          <w:divBdr>
            <w:top w:val="none" w:sz="0" w:space="0" w:color="auto"/>
            <w:left w:val="none" w:sz="0" w:space="0" w:color="auto"/>
            <w:bottom w:val="none" w:sz="0" w:space="0" w:color="auto"/>
            <w:right w:val="none" w:sz="0" w:space="0" w:color="auto"/>
          </w:divBdr>
        </w:div>
        <w:div w:id="1509371514">
          <w:marLeft w:val="547"/>
          <w:marRight w:val="0"/>
          <w:marTop w:val="0"/>
          <w:marBottom w:val="0"/>
          <w:divBdr>
            <w:top w:val="none" w:sz="0" w:space="0" w:color="auto"/>
            <w:left w:val="none" w:sz="0" w:space="0" w:color="auto"/>
            <w:bottom w:val="none" w:sz="0" w:space="0" w:color="auto"/>
            <w:right w:val="none" w:sz="0" w:space="0" w:color="auto"/>
          </w:divBdr>
        </w:div>
      </w:divsChild>
    </w:div>
    <w:div w:id="734622350">
      <w:bodyDiv w:val="1"/>
      <w:marLeft w:val="0"/>
      <w:marRight w:val="0"/>
      <w:marTop w:val="0"/>
      <w:marBottom w:val="0"/>
      <w:divBdr>
        <w:top w:val="none" w:sz="0" w:space="0" w:color="auto"/>
        <w:left w:val="none" w:sz="0" w:space="0" w:color="auto"/>
        <w:bottom w:val="none" w:sz="0" w:space="0" w:color="auto"/>
        <w:right w:val="none" w:sz="0" w:space="0" w:color="auto"/>
      </w:divBdr>
      <w:divsChild>
        <w:div w:id="1244417662">
          <w:marLeft w:val="1800"/>
          <w:marRight w:val="0"/>
          <w:marTop w:val="0"/>
          <w:marBottom w:val="0"/>
          <w:divBdr>
            <w:top w:val="none" w:sz="0" w:space="0" w:color="auto"/>
            <w:left w:val="none" w:sz="0" w:space="0" w:color="auto"/>
            <w:bottom w:val="none" w:sz="0" w:space="0" w:color="auto"/>
            <w:right w:val="none" w:sz="0" w:space="0" w:color="auto"/>
          </w:divBdr>
        </w:div>
        <w:div w:id="216163626">
          <w:marLeft w:val="2606"/>
          <w:marRight w:val="0"/>
          <w:marTop w:val="0"/>
          <w:marBottom w:val="0"/>
          <w:divBdr>
            <w:top w:val="none" w:sz="0" w:space="0" w:color="auto"/>
            <w:left w:val="none" w:sz="0" w:space="0" w:color="auto"/>
            <w:bottom w:val="none" w:sz="0" w:space="0" w:color="auto"/>
            <w:right w:val="none" w:sz="0" w:space="0" w:color="auto"/>
          </w:divBdr>
        </w:div>
        <w:div w:id="423649629">
          <w:marLeft w:val="1800"/>
          <w:marRight w:val="0"/>
          <w:marTop w:val="0"/>
          <w:marBottom w:val="0"/>
          <w:divBdr>
            <w:top w:val="none" w:sz="0" w:space="0" w:color="auto"/>
            <w:left w:val="none" w:sz="0" w:space="0" w:color="auto"/>
            <w:bottom w:val="none" w:sz="0" w:space="0" w:color="auto"/>
            <w:right w:val="none" w:sz="0" w:space="0" w:color="auto"/>
          </w:divBdr>
        </w:div>
        <w:div w:id="1798835961">
          <w:marLeft w:val="2606"/>
          <w:marRight w:val="0"/>
          <w:marTop w:val="0"/>
          <w:marBottom w:val="0"/>
          <w:divBdr>
            <w:top w:val="none" w:sz="0" w:space="0" w:color="auto"/>
            <w:left w:val="none" w:sz="0" w:space="0" w:color="auto"/>
            <w:bottom w:val="none" w:sz="0" w:space="0" w:color="auto"/>
            <w:right w:val="none" w:sz="0" w:space="0" w:color="auto"/>
          </w:divBdr>
        </w:div>
        <w:div w:id="611397056">
          <w:marLeft w:val="1800"/>
          <w:marRight w:val="0"/>
          <w:marTop w:val="0"/>
          <w:marBottom w:val="0"/>
          <w:divBdr>
            <w:top w:val="none" w:sz="0" w:space="0" w:color="auto"/>
            <w:left w:val="none" w:sz="0" w:space="0" w:color="auto"/>
            <w:bottom w:val="none" w:sz="0" w:space="0" w:color="auto"/>
            <w:right w:val="none" w:sz="0" w:space="0" w:color="auto"/>
          </w:divBdr>
        </w:div>
        <w:div w:id="1532105767">
          <w:marLeft w:val="2520"/>
          <w:marRight w:val="0"/>
          <w:marTop w:val="0"/>
          <w:marBottom w:val="0"/>
          <w:divBdr>
            <w:top w:val="none" w:sz="0" w:space="0" w:color="auto"/>
            <w:left w:val="none" w:sz="0" w:space="0" w:color="auto"/>
            <w:bottom w:val="none" w:sz="0" w:space="0" w:color="auto"/>
            <w:right w:val="none" w:sz="0" w:space="0" w:color="auto"/>
          </w:divBdr>
        </w:div>
        <w:div w:id="1408502591">
          <w:marLeft w:val="1800"/>
          <w:marRight w:val="0"/>
          <w:marTop w:val="0"/>
          <w:marBottom w:val="0"/>
          <w:divBdr>
            <w:top w:val="none" w:sz="0" w:space="0" w:color="auto"/>
            <w:left w:val="none" w:sz="0" w:space="0" w:color="auto"/>
            <w:bottom w:val="none" w:sz="0" w:space="0" w:color="auto"/>
            <w:right w:val="none" w:sz="0" w:space="0" w:color="auto"/>
          </w:divBdr>
        </w:div>
        <w:div w:id="1782458639">
          <w:marLeft w:val="2606"/>
          <w:marRight w:val="0"/>
          <w:marTop w:val="0"/>
          <w:marBottom w:val="0"/>
          <w:divBdr>
            <w:top w:val="none" w:sz="0" w:space="0" w:color="auto"/>
            <w:left w:val="none" w:sz="0" w:space="0" w:color="auto"/>
            <w:bottom w:val="none" w:sz="0" w:space="0" w:color="auto"/>
            <w:right w:val="none" w:sz="0" w:space="0" w:color="auto"/>
          </w:divBdr>
        </w:div>
      </w:divsChild>
    </w:div>
    <w:div w:id="803546629">
      <w:bodyDiv w:val="1"/>
      <w:marLeft w:val="0"/>
      <w:marRight w:val="0"/>
      <w:marTop w:val="0"/>
      <w:marBottom w:val="0"/>
      <w:divBdr>
        <w:top w:val="none" w:sz="0" w:space="0" w:color="auto"/>
        <w:left w:val="none" w:sz="0" w:space="0" w:color="auto"/>
        <w:bottom w:val="none" w:sz="0" w:space="0" w:color="auto"/>
        <w:right w:val="none" w:sz="0" w:space="0" w:color="auto"/>
      </w:divBdr>
      <w:divsChild>
        <w:div w:id="1237397521">
          <w:marLeft w:val="547"/>
          <w:marRight w:val="0"/>
          <w:marTop w:val="0"/>
          <w:marBottom w:val="0"/>
          <w:divBdr>
            <w:top w:val="none" w:sz="0" w:space="0" w:color="auto"/>
            <w:left w:val="none" w:sz="0" w:space="0" w:color="auto"/>
            <w:bottom w:val="none" w:sz="0" w:space="0" w:color="auto"/>
            <w:right w:val="none" w:sz="0" w:space="0" w:color="auto"/>
          </w:divBdr>
        </w:div>
        <w:div w:id="1526140267">
          <w:marLeft w:val="547"/>
          <w:marRight w:val="0"/>
          <w:marTop w:val="0"/>
          <w:marBottom w:val="0"/>
          <w:divBdr>
            <w:top w:val="none" w:sz="0" w:space="0" w:color="auto"/>
            <w:left w:val="none" w:sz="0" w:space="0" w:color="auto"/>
            <w:bottom w:val="none" w:sz="0" w:space="0" w:color="auto"/>
            <w:right w:val="none" w:sz="0" w:space="0" w:color="auto"/>
          </w:divBdr>
        </w:div>
      </w:divsChild>
    </w:div>
    <w:div w:id="810558537">
      <w:bodyDiv w:val="1"/>
      <w:marLeft w:val="0"/>
      <w:marRight w:val="0"/>
      <w:marTop w:val="0"/>
      <w:marBottom w:val="0"/>
      <w:divBdr>
        <w:top w:val="none" w:sz="0" w:space="0" w:color="auto"/>
        <w:left w:val="none" w:sz="0" w:space="0" w:color="auto"/>
        <w:bottom w:val="none" w:sz="0" w:space="0" w:color="auto"/>
        <w:right w:val="none" w:sz="0" w:space="0" w:color="auto"/>
      </w:divBdr>
    </w:div>
    <w:div w:id="914818356">
      <w:bodyDiv w:val="1"/>
      <w:marLeft w:val="0"/>
      <w:marRight w:val="0"/>
      <w:marTop w:val="0"/>
      <w:marBottom w:val="0"/>
      <w:divBdr>
        <w:top w:val="none" w:sz="0" w:space="0" w:color="auto"/>
        <w:left w:val="none" w:sz="0" w:space="0" w:color="auto"/>
        <w:bottom w:val="none" w:sz="0" w:space="0" w:color="auto"/>
        <w:right w:val="none" w:sz="0" w:space="0" w:color="auto"/>
      </w:divBdr>
    </w:div>
    <w:div w:id="1008949384">
      <w:bodyDiv w:val="1"/>
      <w:marLeft w:val="0"/>
      <w:marRight w:val="0"/>
      <w:marTop w:val="0"/>
      <w:marBottom w:val="0"/>
      <w:divBdr>
        <w:top w:val="none" w:sz="0" w:space="0" w:color="auto"/>
        <w:left w:val="none" w:sz="0" w:space="0" w:color="auto"/>
        <w:bottom w:val="none" w:sz="0" w:space="0" w:color="auto"/>
        <w:right w:val="none" w:sz="0" w:space="0" w:color="auto"/>
      </w:divBdr>
      <w:divsChild>
        <w:div w:id="1868712772">
          <w:marLeft w:val="547"/>
          <w:marRight w:val="0"/>
          <w:marTop w:val="0"/>
          <w:marBottom w:val="0"/>
          <w:divBdr>
            <w:top w:val="none" w:sz="0" w:space="0" w:color="auto"/>
            <w:left w:val="none" w:sz="0" w:space="0" w:color="auto"/>
            <w:bottom w:val="none" w:sz="0" w:space="0" w:color="auto"/>
            <w:right w:val="none" w:sz="0" w:space="0" w:color="auto"/>
          </w:divBdr>
        </w:div>
        <w:div w:id="2095281426">
          <w:marLeft w:val="547"/>
          <w:marRight w:val="0"/>
          <w:marTop w:val="0"/>
          <w:marBottom w:val="0"/>
          <w:divBdr>
            <w:top w:val="none" w:sz="0" w:space="0" w:color="auto"/>
            <w:left w:val="none" w:sz="0" w:space="0" w:color="auto"/>
            <w:bottom w:val="none" w:sz="0" w:space="0" w:color="auto"/>
            <w:right w:val="none" w:sz="0" w:space="0" w:color="auto"/>
          </w:divBdr>
        </w:div>
      </w:divsChild>
    </w:div>
    <w:div w:id="1045907933">
      <w:bodyDiv w:val="1"/>
      <w:marLeft w:val="0"/>
      <w:marRight w:val="0"/>
      <w:marTop w:val="0"/>
      <w:marBottom w:val="0"/>
      <w:divBdr>
        <w:top w:val="none" w:sz="0" w:space="0" w:color="auto"/>
        <w:left w:val="none" w:sz="0" w:space="0" w:color="auto"/>
        <w:bottom w:val="none" w:sz="0" w:space="0" w:color="auto"/>
        <w:right w:val="none" w:sz="0" w:space="0" w:color="auto"/>
      </w:divBdr>
      <w:divsChild>
        <w:div w:id="172913781">
          <w:marLeft w:val="1800"/>
          <w:marRight w:val="0"/>
          <w:marTop w:val="0"/>
          <w:marBottom w:val="0"/>
          <w:divBdr>
            <w:top w:val="none" w:sz="0" w:space="0" w:color="auto"/>
            <w:left w:val="none" w:sz="0" w:space="0" w:color="auto"/>
            <w:bottom w:val="none" w:sz="0" w:space="0" w:color="auto"/>
            <w:right w:val="none" w:sz="0" w:space="0" w:color="auto"/>
          </w:divBdr>
        </w:div>
        <w:div w:id="2017226260">
          <w:marLeft w:val="2606"/>
          <w:marRight w:val="0"/>
          <w:marTop w:val="0"/>
          <w:marBottom w:val="0"/>
          <w:divBdr>
            <w:top w:val="none" w:sz="0" w:space="0" w:color="auto"/>
            <w:left w:val="none" w:sz="0" w:space="0" w:color="auto"/>
            <w:bottom w:val="none" w:sz="0" w:space="0" w:color="auto"/>
            <w:right w:val="none" w:sz="0" w:space="0" w:color="auto"/>
          </w:divBdr>
        </w:div>
        <w:div w:id="848956451">
          <w:marLeft w:val="1800"/>
          <w:marRight w:val="0"/>
          <w:marTop w:val="0"/>
          <w:marBottom w:val="0"/>
          <w:divBdr>
            <w:top w:val="none" w:sz="0" w:space="0" w:color="auto"/>
            <w:left w:val="none" w:sz="0" w:space="0" w:color="auto"/>
            <w:bottom w:val="none" w:sz="0" w:space="0" w:color="auto"/>
            <w:right w:val="none" w:sz="0" w:space="0" w:color="auto"/>
          </w:divBdr>
        </w:div>
        <w:div w:id="775291501">
          <w:marLeft w:val="2606"/>
          <w:marRight w:val="0"/>
          <w:marTop w:val="0"/>
          <w:marBottom w:val="0"/>
          <w:divBdr>
            <w:top w:val="none" w:sz="0" w:space="0" w:color="auto"/>
            <w:left w:val="none" w:sz="0" w:space="0" w:color="auto"/>
            <w:bottom w:val="none" w:sz="0" w:space="0" w:color="auto"/>
            <w:right w:val="none" w:sz="0" w:space="0" w:color="auto"/>
          </w:divBdr>
        </w:div>
        <w:div w:id="1929534105">
          <w:marLeft w:val="1800"/>
          <w:marRight w:val="0"/>
          <w:marTop w:val="0"/>
          <w:marBottom w:val="0"/>
          <w:divBdr>
            <w:top w:val="none" w:sz="0" w:space="0" w:color="auto"/>
            <w:left w:val="none" w:sz="0" w:space="0" w:color="auto"/>
            <w:bottom w:val="none" w:sz="0" w:space="0" w:color="auto"/>
            <w:right w:val="none" w:sz="0" w:space="0" w:color="auto"/>
          </w:divBdr>
        </w:div>
        <w:div w:id="1189219861">
          <w:marLeft w:val="2606"/>
          <w:marRight w:val="0"/>
          <w:marTop w:val="0"/>
          <w:marBottom w:val="0"/>
          <w:divBdr>
            <w:top w:val="none" w:sz="0" w:space="0" w:color="auto"/>
            <w:left w:val="none" w:sz="0" w:space="0" w:color="auto"/>
            <w:bottom w:val="none" w:sz="0" w:space="0" w:color="auto"/>
            <w:right w:val="none" w:sz="0" w:space="0" w:color="auto"/>
          </w:divBdr>
        </w:div>
      </w:divsChild>
    </w:div>
    <w:div w:id="1082406927">
      <w:bodyDiv w:val="1"/>
      <w:marLeft w:val="0"/>
      <w:marRight w:val="0"/>
      <w:marTop w:val="0"/>
      <w:marBottom w:val="0"/>
      <w:divBdr>
        <w:top w:val="none" w:sz="0" w:space="0" w:color="auto"/>
        <w:left w:val="none" w:sz="0" w:space="0" w:color="auto"/>
        <w:bottom w:val="none" w:sz="0" w:space="0" w:color="auto"/>
        <w:right w:val="none" w:sz="0" w:space="0" w:color="auto"/>
      </w:divBdr>
    </w:div>
    <w:div w:id="1156723291">
      <w:bodyDiv w:val="1"/>
      <w:marLeft w:val="0"/>
      <w:marRight w:val="0"/>
      <w:marTop w:val="0"/>
      <w:marBottom w:val="0"/>
      <w:divBdr>
        <w:top w:val="none" w:sz="0" w:space="0" w:color="auto"/>
        <w:left w:val="none" w:sz="0" w:space="0" w:color="auto"/>
        <w:bottom w:val="none" w:sz="0" w:space="0" w:color="auto"/>
        <w:right w:val="none" w:sz="0" w:space="0" w:color="auto"/>
      </w:divBdr>
    </w:div>
    <w:div w:id="1185559998">
      <w:bodyDiv w:val="1"/>
      <w:marLeft w:val="0"/>
      <w:marRight w:val="0"/>
      <w:marTop w:val="0"/>
      <w:marBottom w:val="0"/>
      <w:divBdr>
        <w:top w:val="none" w:sz="0" w:space="0" w:color="auto"/>
        <w:left w:val="none" w:sz="0" w:space="0" w:color="auto"/>
        <w:bottom w:val="none" w:sz="0" w:space="0" w:color="auto"/>
        <w:right w:val="none" w:sz="0" w:space="0" w:color="auto"/>
      </w:divBdr>
    </w:div>
    <w:div w:id="1275988705">
      <w:bodyDiv w:val="1"/>
      <w:marLeft w:val="0"/>
      <w:marRight w:val="0"/>
      <w:marTop w:val="0"/>
      <w:marBottom w:val="0"/>
      <w:divBdr>
        <w:top w:val="none" w:sz="0" w:space="0" w:color="auto"/>
        <w:left w:val="none" w:sz="0" w:space="0" w:color="auto"/>
        <w:bottom w:val="none" w:sz="0" w:space="0" w:color="auto"/>
        <w:right w:val="none" w:sz="0" w:space="0" w:color="auto"/>
      </w:divBdr>
    </w:div>
    <w:div w:id="1294216713">
      <w:bodyDiv w:val="1"/>
      <w:marLeft w:val="0"/>
      <w:marRight w:val="0"/>
      <w:marTop w:val="0"/>
      <w:marBottom w:val="0"/>
      <w:divBdr>
        <w:top w:val="none" w:sz="0" w:space="0" w:color="auto"/>
        <w:left w:val="none" w:sz="0" w:space="0" w:color="auto"/>
        <w:bottom w:val="none" w:sz="0" w:space="0" w:color="auto"/>
        <w:right w:val="none" w:sz="0" w:space="0" w:color="auto"/>
      </w:divBdr>
    </w:div>
    <w:div w:id="1355886457">
      <w:bodyDiv w:val="1"/>
      <w:marLeft w:val="0"/>
      <w:marRight w:val="0"/>
      <w:marTop w:val="0"/>
      <w:marBottom w:val="0"/>
      <w:divBdr>
        <w:top w:val="none" w:sz="0" w:space="0" w:color="auto"/>
        <w:left w:val="none" w:sz="0" w:space="0" w:color="auto"/>
        <w:bottom w:val="none" w:sz="0" w:space="0" w:color="auto"/>
        <w:right w:val="none" w:sz="0" w:space="0" w:color="auto"/>
      </w:divBdr>
      <w:divsChild>
        <w:div w:id="1158769728">
          <w:marLeft w:val="547"/>
          <w:marRight w:val="0"/>
          <w:marTop w:val="0"/>
          <w:marBottom w:val="0"/>
          <w:divBdr>
            <w:top w:val="none" w:sz="0" w:space="0" w:color="auto"/>
            <w:left w:val="none" w:sz="0" w:space="0" w:color="auto"/>
            <w:bottom w:val="none" w:sz="0" w:space="0" w:color="auto"/>
            <w:right w:val="none" w:sz="0" w:space="0" w:color="auto"/>
          </w:divBdr>
        </w:div>
        <w:div w:id="1023704348">
          <w:marLeft w:val="547"/>
          <w:marRight w:val="0"/>
          <w:marTop w:val="0"/>
          <w:marBottom w:val="0"/>
          <w:divBdr>
            <w:top w:val="none" w:sz="0" w:space="0" w:color="auto"/>
            <w:left w:val="none" w:sz="0" w:space="0" w:color="auto"/>
            <w:bottom w:val="none" w:sz="0" w:space="0" w:color="auto"/>
            <w:right w:val="none" w:sz="0" w:space="0" w:color="auto"/>
          </w:divBdr>
        </w:div>
        <w:div w:id="553664697">
          <w:marLeft w:val="547"/>
          <w:marRight w:val="0"/>
          <w:marTop w:val="0"/>
          <w:marBottom w:val="0"/>
          <w:divBdr>
            <w:top w:val="none" w:sz="0" w:space="0" w:color="auto"/>
            <w:left w:val="none" w:sz="0" w:space="0" w:color="auto"/>
            <w:bottom w:val="none" w:sz="0" w:space="0" w:color="auto"/>
            <w:right w:val="none" w:sz="0" w:space="0" w:color="auto"/>
          </w:divBdr>
        </w:div>
        <w:div w:id="1994213929">
          <w:marLeft w:val="547"/>
          <w:marRight w:val="0"/>
          <w:marTop w:val="0"/>
          <w:marBottom w:val="0"/>
          <w:divBdr>
            <w:top w:val="none" w:sz="0" w:space="0" w:color="auto"/>
            <w:left w:val="none" w:sz="0" w:space="0" w:color="auto"/>
            <w:bottom w:val="none" w:sz="0" w:space="0" w:color="auto"/>
            <w:right w:val="none" w:sz="0" w:space="0" w:color="auto"/>
          </w:divBdr>
        </w:div>
        <w:div w:id="1025979480">
          <w:marLeft w:val="547"/>
          <w:marRight w:val="0"/>
          <w:marTop w:val="0"/>
          <w:marBottom w:val="0"/>
          <w:divBdr>
            <w:top w:val="none" w:sz="0" w:space="0" w:color="auto"/>
            <w:left w:val="none" w:sz="0" w:space="0" w:color="auto"/>
            <w:bottom w:val="none" w:sz="0" w:space="0" w:color="auto"/>
            <w:right w:val="none" w:sz="0" w:space="0" w:color="auto"/>
          </w:divBdr>
        </w:div>
        <w:div w:id="1673988256">
          <w:marLeft w:val="547"/>
          <w:marRight w:val="0"/>
          <w:marTop w:val="0"/>
          <w:marBottom w:val="0"/>
          <w:divBdr>
            <w:top w:val="none" w:sz="0" w:space="0" w:color="auto"/>
            <w:left w:val="none" w:sz="0" w:space="0" w:color="auto"/>
            <w:bottom w:val="none" w:sz="0" w:space="0" w:color="auto"/>
            <w:right w:val="none" w:sz="0" w:space="0" w:color="auto"/>
          </w:divBdr>
        </w:div>
        <w:div w:id="1915821916">
          <w:marLeft w:val="547"/>
          <w:marRight w:val="0"/>
          <w:marTop w:val="0"/>
          <w:marBottom w:val="0"/>
          <w:divBdr>
            <w:top w:val="none" w:sz="0" w:space="0" w:color="auto"/>
            <w:left w:val="none" w:sz="0" w:space="0" w:color="auto"/>
            <w:bottom w:val="none" w:sz="0" w:space="0" w:color="auto"/>
            <w:right w:val="none" w:sz="0" w:space="0" w:color="auto"/>
          </w:divBdr>
        </w:div>
        <w:div w:id="1878855858">
          <w:marLeft w:val="547"/>
          <w:marRight w:val="0"/>
          <w:marTop w:val="0"/>
          <w:marBottom w:val="0"/>
          <w:divBdr>
            <w:top w:val="none" w:sz="0" w:space="0" w:color="auto"/>
            <w:left w:val="none" w:sz="0" w:space="0" w:color="auto"/>
            <w:bottom w:val="none" w:sz="0" w:space="0" w:color="auto"/>
            <w:right w:val="none" w:sz="0" w:space="0" w:color="auto"/>
          </w:divBdr>
        </w:div>
        <w:div w:id="1157965439">
          <w:marLeft w:val="547"/>
          <w:marRight w:val="0"/>
          <w:marTop w:val="0"/>
          <w:marBottom w:val="0"/>
          <w:divBdr>
            <w:top w:val="none" w:sz="0" w:space="0" w:color="auto"/>
            <w:left w:val="none" w:sz="0" w:space="0" w:color="auto"/>
            <w:bottom w:val="none" w:sz="0" w:space="0" w:color="auto"/>
            <w:right w:val="none" w:sz="0" w:space="0" w:color="auto"/>
          </w:divBdr>
        </w:div>
        <w:div w:id="367876997">
          <w:marLeft w:val="547"/>
          <w:marRight w:val="0"/>
          <w:marTop w:val="0"/>
          <w:marBottom w:val="0"/>
          <w:divBdr>
            <w:top w:val="none" w:sz="0" w:space="0" w:color="auto"/>
            <w:left w:val="none" w:sz="0" w:space="0" w:color="auto"/>
            <w:bottom w:val="none" w:sz="0" w:space="0" w:color="auto"/>
            <w:right w:val="none" w:sz="0" w:space="0" w:color="auto"/>
          </w:divBdr>
        </w:div>
      </w:divsChild>
    </w:div>
    <w:div w:id="1451509753">
      <w:bodyDiv w:val="1"/>
      <w:marLeft w:val="0"/>
      <w:marRight w:val="0"/>
      <w:marTop w:val="0"/>
      <w:marBottom w:val="0"/>
      <w:divBdr>
        <w:top w:val="none" w:sz="0" w:space="0" w:color="auto"/>
        <w:left w:val="none" w:sz="0" w:space="0" w:color="auto"/>
        <w:bottom w:val="none" w:sz="0" w:space="0" w:color="auto"/>
        <w:right w:val="none" w:sz="0" w:space="0" w:color="auto"/>
      </w:divBdr>
      <w:divsChild>
        <w:div w:id="1788692351">
          <w:marLeft w:val="547"/>
          <w:marRight w:val="0"/>
          <w:marTop w:val="0"/>
          <w:marBottom w:val="0"/>
          <w:divBdr>
            <w:top w:val="none" w:sz="0" w:space="0" w:color="auto"/>
            <w:left w:val="none" w:sz="0" w:space="0" w:color="auto"/>
            <w:bottom w:val="none" w:sz="0" w:space="0" w:color="auto"/>
            <w:right w:val="none" w:sz="0" w:space="0" w:color="auto"/>
          </w:divBdr>
        </w:div>
        <w:div w:id="1799446235">
          <w:marLeft w:val="547"/>
          <w:marRight w:val="0"/>
          <w:marTop w:val="0"/>
          <w:marBottom w:val="0"/>
          <w:divBdr>
            <w:top w:val="none" w:sz="0" w:space="0" w:color="auto"/>
            <w:left w:val="none" w:sz="0" w:space="0" w:color="auto"/>
            <w:bottom w:val="none" w:sz="0" w:space="0" w:color="auto"/>
            <w:right w:val="none" w:sz="0" w:space="0" w:color="auto"/>
          </w:divBdr>
        </w:div>
        <w:div w:id="294334875">
          <w:marLeft w:val="547"/>
          <w:marRight w:val="0"/>
          <w:marTop w:val="0"/>
          <w:marBottom w:val="0"/>
          <w:divBdr>
            <w:top w:val="none" w:sz="0" w:space="0" w:color="auto"/>
            <w:left w:val="none" w:sz="0" w:space="0" w:color="auto"/>
            <w:bottom w:val="none" w:sz="0" w:space="0" w:color="auto"/>
            <w:right w:val="none" w:sz="0" w:space="0" w:color="auto"/>
          </w:divBdr>
        </w:div>
        <w:div w:id="1055005430">
          <w:marLeft w:val="547"/>
          <w:marRight w:val="0"/>
          <w:marTop w:val="0"/>
          <w:marBottom w:val="0"/>
          <w:divBdr>
            <w:top w:val="none" w:sz="0" w:space="0" w:color="auto"/>
            <w:left w:val="none" w:sz="0" w:space="0" w:color="auto"/>
            <w:bottom w:val="none" w:sz="0" w:space="0" w:color="auto"/>
            <w:right w:val="none" w:sz="0" w:space="0" w:color="auto"/>
          </w:divBdr>
        </w:div>
        <w:div w:id="1529755970">
          <w:marLeft w:val="547"/>
          <w:marRight w:val="0"/>
          <w:marTop w:val="0"/>
          <w:marBottom w:val="0"/>
          <w:divBdr>
            <w:top w:val="none" w:sz="0" w:space="0" w:color="auto"/>
            <w:left w:val="none" w:sz="0" w:space="0" w:color="auto"/>
            <w:bottom w:val="none" w:sz="0" w:space="0" w:color="auto"/>
            <w:right w:val="none" w:sz="0" w:space="0" w:color="auto"/>
          </w:divBdr>
        </w:div>
        <w:div w:id="1653100038">
          <w:marLeft w:val="547"/>
          <w:marRight w:val="0"/>
          <w:marTop w:val="0"/>
          <w:marBottom w:val="0"/>
          <w:divBdr>
            <w:top w:val="none" w:sz="0" w:space="0" w:color="auto"/>
            <w:left w:val="none" w:sz="0" w:space="0" w:color="auto"/>
            <w:bottom w:val="none" w:sz="0" w:space="0" w:color="auto"/>
            <w:right w:val="none" w:sz="0" w:space="0" w:color="auto"/>
          </w:divBdr>
        </w:div>
        <w:div w:id="118185784">
          <w:marLeft w:val="547"/>
          <w:marRight w:val="0"/>
          <w:marTop w:val="0"/>
          <w:marBottom w:val="0"/>
          <w:divBdr>
            <w:top w:val="none" w:sz="0" w:space="0" w:color="auto"/>
            <w:left w:val="none" w:sz="0" w:space="0" w:color="auto"/>
            <w:bottom w:val="none" w:sz="0" w:space="0" w:color="auto"/>
            <w:right w:val="none" w:sz="0" w:space="0" w:color="auto"/>
          </w:divBdr>
        </w:div>
        <w:div w:id="1560434438">
          <w:marLeft w:val="547"/>
          <w:marRight w:val="0"/>
          <w:marTop w:val="0"/>
          <w:marBottom w:val="0"/>
          <w:divBdr>
            <w:top w:val="none" w:sz="0" w:space="0" w:color="auto"/>
            <w:left w:val="none" w:sz="0" w:space="0" w:color="auto"/>
            <w:bottom w:val="none" w:sz="0" w:space="0" w:color="auto"/>
            <w:right w:val="none" w:sz="0" w:space="0" w:color="auto"/>
          </w:divBdr>
        </w:div>
        <w:div w:id="1941256836">
          <w:marLeft w:val="547"/>
          <w:marRight w:val="0"/>
          <w:marTop w:val="0"/>
          <w:marBottom w:val="0"/>
          <w:divBdr>
            <w:top w:val="none" w:sz="0" w:space="0" w:color="auto"/>
            <w:left w:val="none" w:sz="0" w:space="0" w:color="auto"/>
            <w:bottom w:val="none" w:sz="0" w:space="0" w:color="auto"/>
            <w:right w:val="none" w:sz="0" w:space="0" w:color="auto"/>
          </w:divBdr>
        </w:div>
        <w:div w:id="1105269040">
          <w:marLeft w:val="547"/>
          <w:marRight w:val="0"/>
          <w:marTop w:val="0"/>
          <w:marBottom w:val="0"/>
          <w:divBdr>
            <w:top w:val="none" w:sz="0" w:space="0" w:color="auto"/>
            <w:left w:val="none" w:sz="0" w:space="0" w:color="auto"/>
            <w:bottom w:val="none" w:sz="0" w:space="0" w:color="auto"/>
            <w:right w:val="none" w:sz="0" w:space="0" w:color="auto"/>
          </w:divBdr>
        </w:div>
      </w:divsChild>
    </w:div>
    <w:div w:id="1486168901">
      <w:bodyDiv w:val="1"/>
      <w:marLeft w:val="0"/>
      <w:marRight w:val="0"/>
      <w:marTop w:val="0"/>
      <w:marBottom w:val="0"/>
      <w:divBdr>
        <w:top w:val="none" w:sz="0" w:space="0" w:color="auto"/>
        <w:left w:val="none" w:sz="0" w:space="0" w:color="auto"/>
        <w:bottom w:val="none" w:sz="0" w:space="0" w:color="auto"/>
        <w:right w:val="none" w:sz="0" w:space="0" w:color="auto"/>
      </w:divBdr>
    </w:div>
    <w:div w:id="1499928067">
      <w:bodyDiv w:val="1"/>
      <w:marLeft w:val="0"/>
      <w:marRight w:val="0"/>
      <w:marTop w:val="0"/>
      <w:marBottom w:val="0"/>
      <w:divBdr>
        <w:top w:val="none" w:sz="0" w:space="0" w:color="auto"/>
        <w:left w:val="none" w:sz="0" w:space="0" w:color="auto"/>
        <w:bottom w:val="none" w:sz="0" w:space="0" w:color="auto"/>
        <w:right w:val="none" w:sz="0" w:space="0" w:color="auto"/>
      </w:divBdr>
    </w:div>
    <w:div w:id="1594976074">
      <w:bodyDiv w:val="1"/>
      <w:marLeft w:val="0"/>
      <w:marRight w:val="0"/>
      <w:marTop w:val="0"/>
      <w:marBottom w:val="0"/>
      <w:divBdr>
        <w:top w:val="none" w:sz="0" w:space="0" w:color="auto"/>
        <w:left w:val="none" w:sz="0" w:space="0" w:color="auto"/>
        <w:bottom w:val="none" w:sz="0" w:space="0" w:color="auto"/>
        <w:right w:val="none" w:sz="0" w:space="0" w:color="auto"/>
      </w:divBdr>
      <w:divsChild>
        <w:div w:id="1371225896">
          <w:marLeft w:val="547"/>
          <w:marRight w:val="0"/>
          <w:marTop w:val="0"/>
          <w:marBottom w:val="0"/>
          <w:divBdr>
            <w:top w:val="none" w:sz="0" w:space="0" w:color="auto"/>
            <w:left w:val="none" w:sz="0" w:space="0" w:color="auto"/>
            <w:bottom w:val="none" w:sz="0" w:space="0" w:color="auto"/>
            <w:right w:val="none" w:sz="0" w:space="0" w:color="auto"/>
          </w:divBdr>
        </w:div>
        <w:div w:id="976297134">
          <w:marLeft w:val="547"/>
          <w:marRight w:val="0"/>
          <w:marTop w:val="0"/>
          <w:marBottom w:val="0"/>
          <w:divBdr>
            <w:top w:val="none" w:sz="0" w:space="0" w:color="auto"/>
            <w:left w:val="none" w:sz="0" w:space="0" w:color="auto"/>
            <w:bottom w:val="none" w:sz="0" w:space="0" w:color="auto"/>
            <w:right w:val="none" w:sz="0" w:space="0" w:color="auto"/>
          </w:divBdr>
        </w:div>
        <w:div w:id="1951278441">
          <w:marLeft w:val="547"/>
          <w:marRight w:val="0"/>
          <w:marTop w:val="0"/>
          <w:marBottom w:val="0"/>
          <w:divBdr>
            <w:top w:val="none" w:sz="0" w:space="0" w:color="auto"/>
            <w:left w:val="none" w:sz="0" w:space="0" w:color="auto"/>
            <w:bottom w:val="none" w:sz="0" w:space="0" w:color="auto"/>
            <w:right w:val="none" w:sz="0" w:space="0" w:color="auto"/>
          </w:divBdr>
        </w:div>
      </w:divsChild>
    </w:div>
    <w:div w:id="1692339392">
      <w:bodyDiv w:val="1"/>
      <w:marLeft w:val="0"/>
      <w:marRight w:val="0"/>
      <w:marTop w:val="0"/>
      <w:marBottom w:val="0"/>
      <w:divBdr>
        <w:top w:val="none" w:sz="0" w:space="0" w:color="auto"/>
        <w:left w:val="none" w:sz="0" w:space="0" w:color="auto"/>
        <w:bottom w:val="none" w:sz="0" w:space="0" w:color="auto"/>
        <w:right w:val="none" w:sz="0" w:space="0" w:color="auto"/>
      </w:divBdr>
      <w:divsChild>
        <w:div w:id="1554149645">
          <w:marLeft w:val="547"/>
          <w:marRight w:val="0"/>
          <w:marTop w:val="0"/>
          <w:marBottom w:val="0"/>
          <w:divBdr>
            <w:top w:val="none" w:sz="0" w:space="0" w:color="auto"/>
            <w:left w:val="none" w:sz="0" w:space="0" w:color="auto"/>
            <w:bottom w:val="none" w:sz="0" w:space="0" w:color="auto"/>
            <w:right w:val="none" w:sz="0" w:space="0" w:color="auto"/>
          </w:divBdr>
        </w:div>
        <w:div w:id="553124220">
          <w:marLeft w:val="547"/>
          <w:marRight w:val="0"/>
          <w:marTop w:val="0"/>
          <w:marBottom w:val="0"/>
          <w:divBdr>
            <w:top w:val="none" w:sz="0" w:space="0" w:color="auto"/>
            <w:left w:val="none" w:sz="0" w:space="0" w:color="auto"/>
            <w:bottom w:val="none" w:sz="0" w:space="0" w:color="auto"/>
            <w:right w:val="none" w:sz="0" w:space="0" w:color="auto"/>
          </w:divBdr>
        </w:div>
      </w:divsChild>
    </w:div>
    <w:div w:id="1697270115">
      <w:bodyDiv w:val="1"/>
      <w:marLeft w:val="0"/>
      <w:marRight w:val="0"/>
      <w:marTop w:val="0"/>
      <w:marBottom w:val="0"/>
      <w:divBdr>
        <w:top w:val="none" w:sz="0" w:space="0" w:color="auto"/>
        <w:left w:val="none" w:sz="0" w:space="0" w:color="auto"/>
        <w:bottom w:val="none" w:sz="0" w:space="0" w:color="auto"/>
        <w:right w:val="none" w:sz="0" w:space="0" w:color="auto"/>
      </w:divBdr>
      <w:divsChild>
        <w:div w:id="1515337570">
          <w:marLeft w:val="547"/>
          <w:marRight w:val="0"/>
          <w:marTop w:val="0"/>
          <w:marBottom w:val="0"/>
          <w:divBdr>
            <w:top w:val="none" w:sz="0" w:space="0" w:color="auto"/>
            <w:left w:val="none" w:sz="0" w:space="0" w:color="auto"/>
            <w:bottom w:val="none" w:sz="0" w:space="0" w:color="auto"/>
            <w:right w:val="none" w:sz="0" w:space="0" w:color="auto"/>
          </w:divBdr>
        </w:div>
        <w:div w:id="1934315334">
          <w:marLeft w:val="547"/>
          <w:marRight w:val="0"/>
          <w:marTop w:val="0"/>
          <w:marBottom w:val="0"/>
          <w:divBdr>
            <w:top w:val="none" w:sz="0" w:space="0" w:color="auto"/>
            <w:left w:val="none" w:sz="0" w:space="0" w:color="auto"/>
            <w:bottom w:val="none" w:sz="0" w:space="0" w:color="auto"/>
            <w:right w:val="none" w:sz="0" w:space="0" w:color="auto"/>
          </w:divBdr>
        </w:div>
        <w:div w:id="141705286">
          <w:marLeft w:val="547"/>
          <w:marRight w:val="0"/>
          <w:marTop w:val="0"/>
          <w:marBottom w:val="0"/>
          <w:divBdr>
            <w:top w:val="none" w:sz="0" w:space="0" w:color="auto"/>
            <w:left w:val="none" w:sz="0" w:space="0" w:color="auto"/>
            <w:bottom w:val="none" w:sz="0" w:space="0" w:color="auto"/>
            <w:right w:val="none" w:sz="0" w:space="0" w:color="auto"/>
          </w:divBdr>
        </w:div>
        <w:div w:id="568686036">
          <w:marLeft w:val="547"/>
          <w:marRight w:val="0"/>
          <w:marTop w:val="0"/>
          <w:marBottom w:val="0"/>
          <w:divBdr>
            <w:top w:val="none" w:sz="0" w:space="0" w:color="auto"/>
            <w:left w:val="none" w:sz="0" w:space="0" w:color="auto"/>
            <w:bottom w:val="none" w:sz="0" w:space="0" w:color="auto"/>
            <w:right w:val="none" w:sz="0" w:space="0" w:color="auto"/>
          </w:divBdr>
        </w:div>
      </w:divsChild>
    </w:div>
    <w:div w:id="1797723264">
      <w:bodyDiv w:val="1"/>
      <w:marLeft w:val="0"/>
      <w:marRight w:val="0"/>
      <w:marTop w:val="0"/>
      <w:marBottom w:val="0"/>
      <w:divBdr>
        <w:top w:val="none" w:sz="0" w:space="0" w:color="auto"/>
        <w:left w:val="none" w:sz="0" w:space="0" w:color="auto"/>
        <w:bottom w:val="none" w:sz="0" w:space="0" w:color="auto"/>
        <w:right w:val="none" w:sz="0" w:space="0" w:color="auto"/>
      </w:divBdr>
    </w:div>
    <w:div w:id="1853521076">
      <w:bodyDiv w:val="1"/>
      <w:marLeft w:val="0"/>
      <w:marRight w:val="0"/>
      <w:marTop w:val="0"/>
      <w:marBottom w:val="0"/>
      <w:divBdr>
        <w:top w:val="none" w:sz="0" w:space="0" w:color="auto"/>
        <w:left w:val="none" w:sz="0" w:space="0" w:color="auto"/>
        <w:bottom w:val="none" w:sz="0" w:space="0" w:color="auto"/>
        <w:right w:val="none" w:sz="0" w:space="0" w:color="auto"/>
      </w:divBdr>
    </w:div>
    <w:div w:id="1982491948">
      <w:bodyDiv w:val="1"/>
      <w:marLeft w:val="0"/>
      <w:marRight w:val="0"/>
      <w:marTop w:val="0"/>
      <w:marBottom w:val="0"/>
      <w:divBdr>
        <w:top w:val="none" w:sz="0" w:space="0" w:color="auto"/>
        <w:left w:val="none" w:sz="0" w:space="0" w:color="auto"/>
        <w:bottom w:val="none" w:sz="0" w:space="0" w:color="auto"/>
        <w:right w:val="none" w:sz="0" w:space="0" w:color="auto"/>
      </w:divBdr>
      <w:divsChild>
        <w:div w:id="1571891466">
          <w:marLeft w:val="547"/>
          <w:marRight w:val="0"/>
          <w:marTop w:val="0"/>
          <w:marBottom w:val="0"/>
          <w:divBdr>
            <w:top w:val="none" w:sz="0" w:space="0" w:color="auto"/>
            <w:left w:val="none" w:sz="0" w:space="0" w:color="auto"/>
            <w:bottom w:val="none" w:sz="0" w:space="0" w:color="auto"/>
            <w:right w:val="none" w:sz="0" w:space="0" w:color="auto"/>
          </w:divBdr>
        </w:div>
        <w:div w:id="1018657112">
          <w:marLeft w:val="547"/>
          <w:marRight w:val="0"/>
          <w:marTop w:val="0"/>
          <w:marBottom w:val="0"/>
          <w:divBdr>
            <w:top w:val="none" w:sz="0" w:space="0" w:color="auto"/>
            <w:left w:val="none" w:sz="0" w:space="0" w:color="auto"/>
            <w:bottom w:val="none" w:sz="0" w:space="0" w:color="auto"/>
            <w:right w:val="none" w:sz="0" w:space="0" w:color="auto"/>
          </w:divBdr>
        </w:div>
        <w:div w:id="669529356">
          <w:marLeft w:val="547"/>
          <w:marRight w:val="0"/>
          <w:marTop w:val="0"/>
          <w:marBottom w:val="0"/>
          <w:divBdr>
            <w:top w:val="none" w:sz="0" w:space="0" w:color="auto"/>
            <w:left w:val="none" w:sz="0" w:space="0" w:color="auto"/>
            <w:bottom w:val="none" w:sz="0" w:space="0" w:color="auto"/>
            <w:right w:val="none" w:sz="0" w:space="0" w:color="auto"/>
          </w:divBdr>
        </w:div>
        <w:div w:id="316152291">
          <w:marLeft w:val="547"/>
          <w:marRight w:val="0"/>
          <w:marTop w:val="0"/>
          <w:marBottom w:val="0"/>
          <w:divBdr>
            <w:top w:val="none" w:sz="0" w:space="0" w:color="auto"/>
            <w:left w:val="none" w:sz="0" w:space="0" w:color="auto"/>
            <w:bottom w:val="none" w:sz="0" w:space="0" w:color="auto"/>
            <w:right w:val="none" w:sz="0" w:space="0" w:color="auto"/>
          </w:divBdr>
        </w:div>
        <w:div w:id="1845002221">
          <w:marLeft w:val="547"/>
          <w:marRight w:val="0"/>
          <w:marTop w:val="0"/>
          <w:marBottom w:val="0"/>
          <w:divBdr>
            <w:top w:val="none" w:sz="0" w:space="0" w:color="auto"/>
            <w:left w:val="none" w:sz="0" w:space="0" w:color="auto"/>
            <w:bottom w:val="none" w:sz="0" w:space="0" w:color="auto"/>
            <w:right w:val="none" w:sz="0" w:space="0" w:color="auto"/>
          </w:divBdr>
        </w:div>
        <w:div w:id="297345007">
          <w:marLeft w:val="547"/>
          <w:marRight w:val="0"/>
          <w:marTop w:val="0"/>
          <w:marBottom w:val="0"/>
          <w:divBdr>
            <w:top w:val="none" w:sz="0" w:space="0" w:color="auto"/>
            <w:left w:val="none" w:sz="0" w:space="0" w:color="auto"/>
            <w:bottom w:val="none" w:sz="0" w:space="0" w:color="auto"/>
            <w:right w:val="none" w:sz="0" w:space="0" w:color="auto"/>
          </w:divBdr>
        </w:div>
        <w:div w:id="1589079816">
          <w:marLeft w:val="547"/>
          <w:marRight w:val="0"/>
          <w:marTop w:val="0"/>
          <w:marBottom w:val="0"/>
          <w:divBdr>
            <w:top w:val="none" w:sz="0" w:space="0" w:color="auto"/>
            <w:left w:val="none" w:sz="0" w:space="0" w:color="auto"/>
            <w:bottom w:val="none" w:sz="0" w:space="0" w:color="auto"/>
            <w:right w:val="none" w:sz="0" w:space="0" w:color="auto"/>
          </w:divBdr>
        </w:div>
        <w:div w:id="451441810">
          <w:marLeft w:val="547"/>
          <w:marRight w:val="0"/>
          <w:marTop w:val="0"/>
          <w:marBottom w:val="0"/>
          <w:divBdr>
            <w:top w:val="none" w:sz="0" w:space="0" w:color="auto"/>
            <w:left w:val="none" w:sz="0" w:space="0" w:color="auto"/>
            <w:bottom w:val="none" w:sz="0" w:space="0" w:color="auto"/>
            <w:right w:val="none" w:sz="0" w:space="0" w:color="auto"/>
          </w:divBdr>
        </w:div>
        <w:div w:id="1392654091">
          <w:marLeft w:val="547"/>
          <w:marRight w:val="0"/>
          <w:marTop w:val="0"/>
          <w:marBottom w:val="0"/>
          <w:divBdr>
            <w:top w:val="none" w:sz="0" w:space="0" w:color="auto"/>
            <w:left w:val="none" w:sz="0" w:space="0" w:color="auto"/>
            <w:bottom w:val="none" w:sz="0" w:space="0" w:color="auto"/>
            <w:right w:val="none" w:sz="0" w:space="0" w:color="auto"/>
          </w:divBdr>
        </w:div>
        <w:div w:id="618802941">
          <w:marLeft w:val="547"/>
          <w:marRight w:val="0"/>
          <w:marTop w:val="0"/>
          <w:marBottom w:val="0"/>
          <w:divBdr>
            <w:top w:val="none" w:sz="0" w:space="0" w:color="auto"/>
            <w:left w:val="none" w:sz="0" w:space="0" w:color="auto"/>
            <w:bottom w:val="none" w:sz="0" w:space="0" w:color="auto"/>
            <w:right w:val="none" w:sz="0" w:space="0" w:color="auto"/>
          </w:divBdr>
        </w:div>
        <w:div w:id="162091375">
          <w:marLeft w:val="547"/>
          <w:marRight w:val="0"/>
          <w:marTop w:val="0"/>
          <w:marBottom w:val="0"/>
          <w:divBdr>
            <w:top w:val="none" w:sz="0" w:space="0" w:color="auto"/>
            <w:left w:val="none" w:sz="0" w:space="0" w:color="auto"/>
            <w:bottom w:val="none" w:sz="0" w:space="0" w:color="auto"/>
            <w:right w:val="none" w:sz="0" w:space="0" w:color="auto"/>
          </w:divBdr>
        </w:div>
        <w:div w:id="825971344">
          <w:marLeft w:val="547"/>
          <w:marRight w:val="0"/>
          <w:marTop w:val="0"/>
          <w:marBottom w:val="0"/>
          <w:divBdr>
            <w:top w:val="none" w:sz="0" w:space="0" w:color="auto"/>
            <w:left w:val="none" w:sz="0" w:space="0" w:color="auto"/>
            <w:bottom w:val="none" w:sz="0" w:space="0" w:color="auto"/>
            <w:right w:val="none" w:sz="0" w:space="0" w:color="auto"/>
          </w:divBdr>
        </w:div>
        <w:div w:id="786657040">
          <w:marLeft w:val="547"/>
          <w:marRight w:val="0"/>
          <w:marTop w:val="0"/>
          <w:marBottom w:val="0"/>
          <w:divBdr>
            <w:top w:val="none" w:sz="0" w:space="0" w:color="auto"/>
            <w:left w:val="none" w:sz="0" w:space="0" w:color="auto"/>
            <w:bottom w:val="none" w:sz="0" w:space="0" w:color="auto"/>
            <w:right w:val="none" w:sz="0" w:space="0" w:color="auto"/>
          </w:divBdr>
        </w:div>
      </w:divsChild>
    </w:div>
    <w:div w:id="2029792751">
      <w:bodyDiv w:val="1"/>
      <w:marLeft w:val="0"/>
      <w:marRight w:val="0"/>
      <w:marTop w:val="0"/>
      <w:marBottom w:val="0"/>
      <w:divBdr>
        <w:top w:val="none" w:sz="0" w:space="0" w:color="auto"/>
        <w:left w:val="none" w:sz="0" w:space="0" w:color="auto"/>
        <w:bottom w:val="none" w:sz="0" w:space="0" w:color="auto"/>
        <w:right w:val="none" w:sz="0" w:space="0" w:color="auto"/>
      </w:divBdr>
    </w:div>
    <w:div w:id="205095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2.xml"/><Relationship Id="rId39" Type="http://schemas.openxmlformats.org/officeDocument/2006/relationships/hyperlink" Target="mailto:chops.zdar@charita.cz" TargetMode="External"/><Relationship Id="rId21" Type="http://schemas.openxmlformats.org/officeDocument/2006/relationships/chart" Target="charts/chart9.xml"/><Relationship Id="rId34" Type="http://schemas.openxmlformats.org/officeDocument/2006/relationships/hyperlink" Target="mailto:marie.milickova@charita.cz" TargetMode="External"/><Relationship Id="rId42" Type="http://schemas.openxmlformats.org/officeDocument/2006/relationships/hyperlink" Target="mailto:stepanek@dsbrezejc.cz" TargetMode="External"/><Relationship Id="rId47" Type="http://schemas.openxmlformats.org/officeDocument/2006/relationships/hyperlink" Target="mailto:noe.trebic@charita.cz" TargetMode="External"/><Relationship Id="rId50" Type="http://schemas.openxmlformats.org/officeDocument/2006/relationships/hyperlink" Target="mailto:wellmez.velmez@charita.cz" TargetMode="External"/><Relationship Id="rId55" Type="http://schemas.openxmlformats.org/officeDocument/2006/relationships/hyperlink" Target="mailto:klubv9.zdar@charita.cz" TargetMode="External"/><Relationship Id="rId63" Type="http://schemas.openxmlformats.org/officeDocument/2006/relationships/chart" Target="charts/chart17.xml"/><Relationship Id="rId68" Type="http://schemas.openxmlformats.org/officeDocument/2006/relationships/chart" Target="charts/chart22.xml"/><Relationship Id="rId76" Type="http://schemas.openxmlformats.org/officeDocument/2006/relationships/chart" Target="charts/chart30.xml"/><Relationship Id="rId7" Type="http://schemas.openxmlformats.org/officeDocument/2006/relationships/footnotes" Target="footnotes.xml"/><Relationship Id="rId71"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7.png"/><Relationship Id="rId11" Type="http://schemas.openxmlformats.org/officeDocument/2006/relationships/image" Target="media/image2.emf"/><Relationship Id="rId24" Type="http://schemas.openxmlformats.org/officeDocument/2006/relationships/image" Target="media/image4.png"/><Relationship Id="rId32" Type="http://schemas.openxmlformats.org/officeDocument/2006/relationships/hyperlink" Target="mailto:reditelka@uspkrizanov.cz" TargetMode="External"/><Relationship Id="rId37" Type="http://schemas.openxmlformats.org/officeDocument/2006/relationships/hyperlink" Target="http://www.zdar.charita.cz" TargetMode="External"/><Relationship Id="rId40" Type="http://schemas.openxmlformats.org/officeDocument/2006/relationships/hyperlink" Target="mailto:chops.zdar@charita.cz" TargetMode="External"/><Relationship Id="rId45" Type="http://schemas.openxmlformats.org/officeDocument/2006/relationships/hyperlink" Target="mailto:ranapece.trebic@charita.cz" TargetMode="External"/><Relationship Id="rId53" Type="http://schemas.openxmlformats.org/officeDocument/2006/relationships/hyperlink" Target="mailto:kopretina.radsvratka@charita.cz" TargetMode="External"/><Relationship Id="rId58" Type="http://schemas.openxmlformats.org/officeDocument/2006/relationships/hyperlink" Target="mailto:katerina.soulakova@charita.cz" TargetMode="External"/><Relationship Id="rId66" Type="http://schemas.openxmlformats.org/officeDocument/2006/relationships/chart" Target="charts/chart20.xml"/><Relationship Id="rId74" Type="http://schemas.openxmlformats.org/officeDocument/2006/relationships/chart" Target="charts/chart28.xml"/><Relationship Id="rId79" Type="http://schemas.openxmlformats.org/officeDocument/2006/relationships/chart" Target="charts/chart33.xml"/><Relationship Id="rId5" Type="http://schemas.openxmlformats.org/officeDocument/2006/relationships/settings" Target="settings.xml"/><Relationship Id="rId61" Type="http://schemas.openxmlformats.org/officeDocument/2006/relationships/chart" Target="charts/chart15.xml"/><Relationship Id="rId82"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chart" Target="charts/chart7.xml"/><Relationship Id="rId31" Type="http://schemas.openxmlformats.org/officeDocument/2006/relationships/hyperlink" Target="mailto:petr.havlicek@hhv.cz" TargetMode="External"/><Relationship Id="rId44" Type="http://schemas.openxmlformats.org/officeDocument/2006/relationships/hyperlink" Target="mailto:michaela.beranova@ligavozic.cz" TargetMode="External"/><Relationship Id="rId52" Type="http://schemas.openxmlformats.org/officeDocument/2006/relationships/hyperlink" Target="mailto:prevence.zdar@charita.cz" TargetMode="External"/><Relationship Id="rId60" Type="http://schemas.openxmlformats.org/officeDocument/2006/relationships/chart" Target="charts/chart14.xml"/><Relationship Id="rId65" Type="http://schemas.openxmlformats.org/officeDocument/2006/relationships/chart" Target="charts/chart19.xml"/><Relationship Id="rId73" Type="http://schemas.openxmlformats.org/officeDocument/2006/relationships/chart" Target="charts/chart27.xml"/><Relationship Id="rId78" Type="http://schemas.openxmlformats.org/officeDocument/2006/relationships/chart" Target="charts/chart32.xml"/><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hyperlink" Target="mailto:ssm.vm@tiscali.cz" TargetMode="External"/><Relationship Id="rId35" Type="http://schemas.openxmlformats.org/officeDocument/2006/relationships/hyperlink" Target="mailto:dhp.zdar@charita.cz" TargetMode="External"/><Relationship Id="rId43" Type="http://schemas.openxmlformats.org/officeDocument/2006/relationships/hyperlink" Target="mailto:karel.lancman@seznam.cz" TargetMode="External"/><Relationship Id="rId48" Type="http://schemas.openxmlformats.org/officeDocument/2006/relationships/hyperlink" Target="mailto:noe.trebic@charita.cz" TargetMode="External"/><Relationship Id="rId56" Type="http://schemas.openxmlformats.org/officeDocument/2006/relationships/hyperlink" Target="mailto:dagmar.bilkova@charita.cz" TargetMode="External"/><Relationship Id="rId64" Type="http://schemas.openxmlformats.org/officeDocument/2006/relationships/chart" Target="charts/chart18.xml"/><Relationship Id="rId69" Type="http://schemas.openxmlformats.org/officeDocument/2006/relationships/chart" Target="charts/chart23.xml"/><Relationship Id="rId77" Type="http://schemas.openxmlformats.org/officeDocument/2006/relationships/chart" Target="charts/chart31.xml"/><Relationship Id="rId8" Type="http://schemas.openxmlformats.org/officeDocument/2006/relationships/endnotes" Target="endnotes.xml"/><Relationship Id="rId51" Type="http://schemas.openxmlformats.org/officeDocument/2006/relationships/hyperlink" Target="mailto:prevence.zdar@charita.cz" TargetMode="External"/><Relationship Id="rId72" Type="http://schemas.openxmlformats.org/officeDocument/2006/relationships/chart" Target="charts/chart26.xm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5.xml"/><Relationship Id="rId25" Type="http://schemas.openxmlformats.org/officeDocument/2006/relationships/image" Target="media/image5.png"/><Relationship Id="rId33" Type="http://schemas.openxmlformats.org/officeDocument/2006/relationships/hyperlink" Target="mailto:chalupova@domovvelkemezirici.cz" TargetMode="External"/><Relationship Id="rId38" Type="http://schemas.openxmlformats.org/officeDocument/2006/relationships/hyperlink" Target="mailto:oa.velmez@charita.cz" TargetMode="External"/><Relationship Id="rId46" Type="http://schemas.openxmlformats.org/officeDocument/2006/relationships/hyperlink" Target="mailto:ivo.vitek@charita.cz" TargetMode="External"/><Relationship Id="rId59" Type="http://schemas.openxmlformats.org/officeDocument/2006/relationships/hyperlink" Target="mailto:porzdar@seznam.cz" TargetMode="External"/><Relationship Id="rId67" Type="http://schemas.openxmlformats.org/officeDocument/2006/relationships/chart" Target="charts/chart21.xml"/><Relationship Id="rId20" Type="http://schemas.openxmlformats.org/officeDocument/2006/relationships/chart" Target="charts/chart8.xml"/><Relationship Id="rId41" Type="http://schemas.openxmlformats.org/officeDocument/2006/relationships/hyperlink" Target="mailto:vaclav.serak@kocianka.cz" TargetMode="External"/><Relationship Id="rId54" Type="http://schemas.openxmlformats.org/officeDocument/2006/relationships/hyperlink" Target="mailto:kopretina.radsvratka@charita.cz" TargetMode="External"/><Relationship Id="rId62" Type="http://schemas.openxmlformats.org/officeDocument/2006/relationships/chart" Target="charts/chart16.xml"/><Relationship Id="rId70" Type="http://schemas.openxmlformats.org/officeDocument/2006/relationships/chart" Target="charts/chart24.xml"/><Relationship Id="rId75" Type="http://schemas.openxmlformats.org/officeDocument/2006/relationships/chart" Target="charts/chart2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6.png"/><Relationship Id="rId36" Type="http://schemas.openxmlformats.org/officeDocument/2006/relationships/hyperlink" Target="mailto:alena.poulova@charita.cz" TargetMode="External"/><Relationship Id="rId49" Type="http://schemas.openxmlformats.org/officeDocument/2006/relationships/hyperlink" Target="mailto:jiri.dvorak@charita.cz" TargetMode="External"/><Relationship Id="rId57" Type="http://schemas.openxmlformats.org/officeDocument/2006/relationships/hyperlink" Target="http://www.zdar.charita.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QNAP\Augur\_M&#283;sta\M&#283;sta%202013\Velk&#233;%20Mezi&#345;&#237;&#269;&#237;%20-%20Anal&#253;za%20soci&#225;ln&#237;ch%20slu&#382;eb\Velke_Meziric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QNAP\Augur\_M&#283;sta\M&#283;sta%202013\Velk&#233;%20Mezi&#345;&#237;&#269;&#237;%20-%20Anal&#253;za%20soci&#225;ln&#237;ch%20slu&#382;eb\Velke_Mezirici.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QNAP\Augur\_M&#283;sta\M&#283;sta%202013\Velk&#233;%20Mezi&#345;&#237;&#269;&#237;%20-%20Anal&#253;za%20soci&#225;ln&#237;ch%20slu&#382;eb\Velke_Mezirici.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QNAP\Augur\_M&#283;sta\M&#283;sta%202013\Velk&#233;%20Mezi&#345;&#237;&#269;&#237;%20-%20Anal&#253;za%20soci&#225;ln&#237;ch%20slu&#382;eb\Velke_Mezirici.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4.xml.rels><?xml version="1.0" encoding="UTF-8" standalone="yes"?>
<Relationships xmlns="http://schemas.openxmlformats.org/package/2006/relationships"><Relationship Id="rId1" Type="http://schemas.openxmlformats.org/officeDocument/2006/relationships/oleObject" Target="file:///\\QNAP\Augur\_M&#283;sta\M&#283;sta%202013\Velk&#233;%20Mezi&#345;&#237;&#269;&#237;%20-%20Anal&#253;za%20soci&#225;ln&#237;ch%20slu&#382;eb\Velke_Meziric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QNAP\Augur\_M&#283;sta\M&#283;sta%202013\Velk&#233;%20Mezi&#345;&#237;&#269;&#237;%20-%20Anal&#253;za%20soci&#225;ln&#237;ch%20slu&#382;eb\Velke_Meziric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QNAP\Augur\_M&#283;sta\M&#283;sta%202013\Velk&#233;%20Mezi&#345;&#237;&#269;&#237;%20-%20Anal&#253;za%20soci&#225;ln&#237;ch%20slu&#382;eb\Velke_Meziric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QNAP\Augur\_M&#283;sta\M&#283;sta%202013\Velk&#233;%20Mezi&#345;&#237;&#269;&#237;%20-%20Anal&#253;za%20soci&#225;ln&#237;ch%20slu&#382;eb\Velke_Meziric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QNAP\Augur\_M&#283;sta\M&#283;sta%202013\Velk&#233;%20Mezi&#345;&#237;&#269;&#237;%20-%20Anal&#253;za%20soci&#225;ln&#237;ch%20slu&#382;eb\Velke_Meziric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QNAP\Augur\_M&#283;sta\M&#283;sta%202013\Velk&#233;%20Mezi&#345;&#237;&#269;&#237;%20-%20Anal&#253;za%20soci&#225;ln&#237;ch%20slu&#382;eb\Velke_Meziri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Stav obyvatel k 1. 7.</a:t>
            </a:r>
          </a:p>
        </c:rich>
      </c:tx>
      <c:overlay val="0"/>
    </c:title>
    <c:autoTitleDeleted val="0"/>
    <c:plotArea>
      <c:layout/>
      <c:barChart>
        <c:barDir val="col"/>
        <c:grouping val="clustered"/>
        <c:varyColors val="0"/>
        <c:ser>
          <c:idx val="0"/>
          <c:order val="0"/>
          <c:tx>
            <c:strRef>
              <c:f>'Stav obyvatel'!$N$2</c:f>
              <c:strCache>
                <c:ptCount val="1"/>
                <c:pt idx="0">
                  <c:v>celkem</c:v>
                </c:pt>
              </c:strCache>
            </c:strRef>
          </c:tx>
          <c:invertIfNegative val="0"/>
          <c:dLbls>
            <c:spPr>
              <a:solidFill>
                <a:schemeClr val="bg1"/>
              </a:solidFill>
              <a:ln>
                <a:solidFill>
                  <a:schemeClr val="tx1">
                    <a:lumMod val="95000"/>
                    <a:lumOff val="5000"/>
                  </a:schemeClr>
                </a:solidFill>
              </a:ln>
            </c:spPr>
            <c:txPr>
              <a:bodyPr/>
              <a:lstStyle/>
              <a:p>
                <a:pPr>
                  <a:defRPr sz="800"/>
                </a:pPr>
                <a:endParaRPr lang="cs-CZ"/>
              </a:p>
            </c:txPr>
            <c:dLblPos val="outEnd"/>
            <c:showLegendKey val="0"/>
            <c:showVal val="1"/>
            <c:showCatName val="0"/>
            <c:showSerName val="0"/>
            <c:showPercent val="0"/>
            <c:showBubbleSize val="0"/>
            <c:showLeaderLines val="0"/>
          </c:dLbls>
          <c:cat>
            <c:numRef>
              <c:f>'Stav obyvatel'!$O$1:$X$1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'Stav obyvatel'!$O$2:$X$2</c:f>
              <c:numCache>
                <c:formatCode>#,##0_ ;\-#,##0\ </c:formatCode>
                <c:ptCount val="10"/>
                <c:pt idx="0">
                  <c:v>11773</c:v>
                </c:pt>
                <c:pt idx="1">
                  <c:v>11757</c:v>
                </c:pt>
                <c:pt idx="2">
                  <c:v>11728</c:v>
                </c:pt>
                <c:pt idx="3">
                  <c:v>11797</c:v>
                </c:pt>
                <c:pt idx="4">
                  <c:v>11768</c:v>
                </c:pt>
                <c:pt idx="5">
                  <c:v>11852</c:v>
                </c:pt>
                <c:pt idx="6">
                  <c:v>11838</c:v>
                </c:pt>
                <c:pt idx="7">
                  <c:v>11819</c:v>
                </c:pt>
                <c:pt idx="8">
                  <c:v>11765</c:v>
                </c:pt>
                <c:pt idx="9">
                  <c:v>11759</c:v>
                </c:pt>
              </c:numCache>
            </c:numRef>
          </c:val>
        </c:ser>
        <c:ser>
          <c:idx val="1"/>
          <c:order val="1"/>
          <c:tx>
            <c:strRef>
              <c:f>'Stav obyvatel'!$N$3</c:f>
              <c:strCache>
                <c:ptCount val="1"/>
                <c:pt idx="0">
                  <c:v>muži</c:v>
                </c:pt>
              </c:strCache>
            </c:strRef>
          </c:tx>
          <c:spPr>
            <a:ln>
              <a:solidFill>
                <a:schemeClr val="tx1">
                  <a:lumMod val="65000"/>
                  <a:lumOff val="35000"/>
                </a:schemeClr>
              </a:solidFill>
            </a:ln>
          </c:spPr>
          <c:invertIfNegative val="0"/>
          <c:dLbls>
            <c:dLbl>
              <c:idx val="9"/>
              <c:layout>
                <c:manualLayout>
                  <c:x val="8.1251253956360278E-3"/>
                  <c:y val="0"/>
                </c:manualLayout>
              </c:layout>
              <c:dLblPos val="outEnd"/>
              <c:showLegendKey val="0"/>
              <c:showVal val="1"/>
              <c:showCatName val="0"/>
              <c:showSerName val="0"/>
              <c:showPercent val="0"/>
              <c:showBubbleSize val="0"/>
            </c:dLbl>
            <c:spPr>
              <a:solidFill>
                <a:schemeClr val="bg1"/>
              </a:solidFill>
              <a:ln>
                <a:solidFill>
                  <a:schemeClr val="tx1">
                    <a:lumMod val="95000"/>
                    <a:lumOff val="5000"/>
                  </a:schemeClr>
                </a:solidFill>
              </a:ln>
            </c:spPr>
            <c:txPr>
              <a:bodyPr/>
              <a:lstStyle/>
              <a:p>
                <a:pPr>
                  <a:defRPr sz="800"/>
                </a:pPr>
                <a:endParaRPr lang="cs-CZ"/>
              </a:p>
            </c:txPr>
            <c:dLblPos val="outEnd"/>
            <c:showLegendKey val="0"/>
            <c:showVal val="1"/>
            <c:showCatName val="0"/>
            <c:showSerName val="0"/>
            <c:showPercent val="0"/>
            <c:showBubbleSize val="0"/>
            <c:showLeaderLines val="0"/>
          </c:dLbls>
          <c:cat>
            <c:numRef>
              <c:f>'Stav obyvatel'!$O$1:$X$1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'Stav obyvatel'!$O$3:$X$3</c:f>
              <c:numCache>
                <c:formatCode>#,##0_ ;\-#,##0\ </c:formatCode>
                <c:ptCount val="10"/>
                <c:pt idx="0">
                  <c:v>5744</c:v>
                </c:pt>
                <c:pt idx="1">
                  <c:v>5728</c:v>
                </c:pt>
                <c:pt idx="2">
                  <c:v>5725</c:v>
                </c:pt>
                <c:pt idx="3">
                  <c:v>5763</c:v>
                </c:pt>
                <c:pt idx="4">
                  <c:v>5753</c:v>
                </c:pt>
                <c:pt idx="5">
                  <c:v>5809</c:v>
                </c:pt>
                <c:pt idx="6">
                  <c:v>5797</c:v>
                </c:pt>
                <c:pt idx="7">
                  <c:v>5804</c:v>
                </c:pt>
                <c:pt idx="8">
                  <c:v>5762</c:v>
                </c:pt>
                <c:pt idx="9">
                  <c:v>5774</c:v>
                </c:pt>
              </c:numCache>
            </c:numRef>
          </c:val>
        </c:ser>
        <c:ser>
          <c:idx val="2"/>
          <c:order val="2"/>
          <c:tx>
            <c:strRef>
              <c:f>'Stav obyvatel'!$N$4</c:f>
              <c:strCache>
                <c:ptCount val="1"/>
                <c:pt idx="0">
                  <c:v>ženy</c:v>
                </c:pt>
              </c:strCache>
            </c:strRef>
          </c:tx>
          <c:spPr>
            <a:ln>
              <a:solidFill>
                <a:schemeClr val="accent3">
                  <a:lumMod val="75000"/>
                </a:schemeClr>
              </a:solidFill>
            </a:ln>
          </c:spPr>
          <c:invertIfNegative val="0"/>
          <c:dLbls>
            <c:dLbl>
              <c:idx val="0"/>
              <c:layout>
                <c:manualLayout>
                  <c:x val="8.1251253956360278E-3"/>
                  <c:y val="-2.5579536370903277E-2"/>
                </c:manualLayout>
              </c:layout>
              <c:dLblPos val="outEnd"/>
              <c:showLegendKey val="0"/>
              <c:showVal val="1"/>
              <c:showCatName val="0"/>
              <c:showSerName val="0"/>
              <c:showPercent val="0"/>
              <c:showBubbleSize val="0"/>
            </c:dLbl>
            <c:dLbl>
              <c:idx val="1"/>
              <c:layout>
                <c:manualLayout>
                  <c:x val="9.750150474763233E-3"/>
                  <c:y val="-2.5579536370903277E-2"/>
                </c:manualLayout>
              </c:layout>
              <c:dLblPos val="outEnd"/>
              <c:showLegendKey val="0"/>
              <c:showVal val="1"/>
              <c:showCatName val="0"/>
              <c:showSerName val="0"/>
              <c:showPercent val="0"/>
              <c:showBubbleSize val="0"/>
            </c:dLbl>
            <c:dLbl>
              <c:idx val="2"/>
              <c:layout>
                <c:manualLayout>
                  <c:x val="6.5001003165088217E-3"/>
                  <c:y val="-1.9184652278177398E-2"/>
                </c:manualLayout>
              </c:layout>
              <c:dLblPos val="outEnd"/>
              <c:showLegendKey val="0"/>
              <c:showVal val="1"/>
              <c:showCatName val="0"/>
              <c:showSerName val="0"/>
              <c:showPercent val="0"/>
              <c:showBubbleSize val="0"/>
            </c:dLbl>
            <c:dLbl>
              <c:idx val="3"/>
              <c:layout>
                <c:manualLayout>
                  <c:x val="1.4625225712144849E-2"/>
                  <c:y val="-2.5579788137993543E-2"/>
                </c:manualLayout>
              </c:layout>
              <c:dLblPos val="outEnd"/>
              <c:showLegendKey val="0"/>
              <c:showVal val="1"/>
              <c:showCatName val="0"/>
              <c:showSerName val="0"/>
              <c:showPercent val="0"/>
              <c:showBubbleSize val="0"/>
            </c:dLbl>
            <c:dLbl>
              <c:idx val="4"/>
              <c:layout>
                <c:manualLayout>
                  <c:x val="1.3000200633017643E-2"/>
                  <c:y val="-2.2382094324540368E-2"/>
                </c:manualLayout>
              </c:layout>
              <c:dLblPos val="outEnd"/>
              <c:showLegendKey val="0"/>
              <c:showVal val="1"/>
              <c:showCatName val="0"/>
              <c:showSerName val="0"/>
              <c:showPercent val="0"/>
              <c:showBubbleSize val="0"/>
            </c:dLbl>
            <c:dLbl>
              <c:idx val="5"/>
              <c:layout>
                <c:manualLayout>
                  <c:x val="8.1251253956360278E-3"/>
                  <c:y val="-3.1974923997809629E-2"/>
                </c:manualLayout>
              </c:layout>
              <c:dLblPos val="outEnd"/>
              <c:showLegendKey val="0"/>
              <c:showVal val="1"/>
              <c:showCatName val="0"/>
              <c:showSerName val="0"/>
              <c:showPercent val="0"/>
              <c:showBubbleSize val="0"/>
            </c:dLbl>
            <c:dLbl>
              <c:idx val="6"/>
              <c:layout>
                <c:manualLayout>
                  <c:x val="6.5001003165088217E-3"/>
                  <c:y val="-2.5579536370903277E-2"/>
                </c:manualLayout>
              </c:layout>
              <c:dLblPos val="outEnd"/>
              <c:showLegendKey val="0"/>
              <c:showVal val="1"/>
              <c:showCatName val="0"/>
              <c:showSerName val="0"/>
              <c:showPercent val="0"/>
              <c:showBubbleSize val="0"/>
            </c:dLbl>
            <c:dLbl>
              <c:idx val="7"/>
              <c:layout>
                <c:manualLayout>
                  <c:x val="8.1251253956360278E-3"/>
                  <c:y val="-2.8776978417266189E-2"/>
                </c:manualLayout>
              </c:layout>
              <c:dLblPos val="outEnd"/>
              <c:showLegendKey val="0"/>
              <c:showVal val="1"/>
              <c:showCatName val="0"/>
              <c:showSerName val="0"/>
              <c:showPercent val="0"/>
              <c:showBubbleSize val="0"/>
            </c:dLbl>
            <c:dLbl>
              <c:idx val="8"/>
              <c:layout>
                <c:manualLayout>
                  <c:x val="9.750150474763233E-3"/>
                  <c:y val="-1.9184652278177398E-2"/>
                </c:manualLayout>
              </c:layout>
              <c:dLblPos val="outEnd"/>
              <c:showLegendKey val="0"/>
              <c:showVal val="1"/>
              <c:showCatName val="0"/>
              <c:showSerName val="0"/>
              <c:showPercent val="0"/>
              <c:showBubbleSize val="0"/>
            </c:dLbl>
            <c:dLbl>
              <c:idx val="9"/>
              <c:layout>
                <c:manualLayout>
                  <c:x val="9.750150474763233E-3"/>
                  <c:y val="-3.1974672230719363E-2"/>
                </c:manualLayout>
              </c:layout>
              <c:dLblPos val="outEnd"/>
              <c:showLegendKey val="0"/>
              <c:showVal val="1"/>
              <c:showCatName val="0"/>
              <c:showSerName val="0"/>
              <c:showPercent val="0"/>
              <c:showBubbleSize val="0"/>
            </c:dLbl>
            <c:spPr>
              <a:solidFill>
                <a:schemeClr val="bg1"/>
              </a:solidFill>
              <a:ln>
                <a:solidFill>
                  <a:schemeClr val="tx1">
                    <a:lumMod val="95000"/>
                    <a:lumOff val="5000"/>
                  </a:schemeClr>
                </a:solidFill>
              </a:ln>
            </c:spPr>
            <c:txPr>
              <a:bodyPr/>
              <a:lstStyle/>
              <a:p>
                <a:pPr>
                  <a:defRPr sz="800"/>
                </a:pPr>
                <a:endParaRPr lang="cs-CZ"/>
              </a:p>
            </c:txPr>
            <c:dLblPos val="outEnd"/>
            <c:showLegendKey val="0"/>
            <c:showVal val="1"/>
            <c:showCatName val="0"/>
            <c:showSerName val="0"/>
            <c:showPercent val="0"/>
            <c:showBubbleSize val="0"/>
            <c:showLeaderLines val="0"/>
          </c:dLbls>
          <c:cat>
            <c:numRef>
              <c:f>'Stav obyvatel'!$O$1:$X$1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'Stav obyvatel'!$O$4:$X$4</c:f>
              <c:numCache>
                <c:formatCode>#,##0_ ;\-#,##0\ </c:formatCode>
                <c:ptCount val="10"/>
                <c:pt idx="0">
                  <c:v>6029</c:v>
                </c:pt>
                <c:pt idx="1">
                  <c:v>6029</c:v>
                </c:pt>
                <c:pt idx="2">
                  <c:v>6003</c:v>
                </c:pt>
                <c:pt idx="3">
                  <c:v>6034</c:v>
                </c:pt>
                <c:pt idx="4">
                  <c:v>6015</c:v>
                </c:pt>
                <c:pt idx="5">
                  <c:v>6043</c:v>
                </c:pt>
                <c:pt idx="6">
                  <c:v>6041</c:v>
                </c:pt>
                <c:pt idx="7">
                  <c:v>6015</c:v>
                </c:pt>
                <c:pt idx="8">
                  <c:v>6003</c:v>
                </c:pt>
                <c:pt idx="9">
                  <c:v>5985</c:v>
                </c:pt>
              </c:numCache>
            </c:numRef>
          </c:val>
        </c:ser>
        <c:dLbls>
          <c:dLblPos val="outEnd"/>
          <c:showLegendKey val="0"/>
          <c:showVal val="1"/>
          <c:showCatName val="0"/>
          <c:showSerName val="0"/>
          <c:showPercent val="0"/>
          <c:showBubbleSize val="0"/>
        </c:dLbls>
        <c:gapWidth val="150"/>
        <c:axId val="147798656"/>
        <c:axId val="186004224"/>
      </c:barChart>
      <c:catAx>
        <c:axId val="147798656"/>
        <c:scaling>
          <c:orientation val="minMax"/>
        </c:scaling>
        <c:delete val="0"/>
        <c:axPos val="b"/>
        <c:numFmt formatCode="General" sourceLinked="1"/>
        <c:majorTickMark val="out"/>
        <c:minorTickMark val="none"/>
        <c:tickLblPos val="nextTo"/>
        <c:crossAx val="186004224"/>
        <c:crosses val="autoZero"/>
        <c:auto val="1"/>
        <c:lblAlgn val="ctr"/>
        <c:lblOffset val="100"/>
        <c:noMultiLvlLbl val="0"/>
      </c:catAx>
      <c:valAx>
        <c:axId val="186004224"/>
        <c:scaling>
          <c:orientation val="minMax"/>
        </c:scaling>
        <c:delete val="0"/>
        <c:axPos val="l"/>
        <c:majorGridlines/>
        <c:numFmt formatCode="#,##0_ ;\-#,##0\ " sourceLinked="1"/>
        <c:majorTickMark val="out"/>
        <c:minorTickMark val="none"/>
        <c:tickLblPos val="nextTo"/>
        <c:crossAx val="14779865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Přistěhovalí!$P$29:$Q$29</c:f>
              <c:strCache>
                <c:ptCount val="1"/>
                <c:pt idx="0">
                  <c:v>Vystěhovalí na 1 000 obyvatel</c:v>
                </c:pt>
              </c:strCache>
            </c:strRef>
          </c:tx>
          <c:spPr>
            <a:solidFill>
              <a:schemeClr val="accent6">
                <a:lumMod val="75000"/>
              </a:schemeClr>
            </a:solidFill>
          </c:spPr>
          <c:invertIfNegative val="0"/>
          <c:dLbls>
            <c:spPr>
              <a:solidFill>
                <a:schemeClr val="bg1"/>
              </a:solidFill>
              <a:ln>
                <a:solidFill>
                  <a:schemeClr val="tx1">
                    <a:lumMod val="95000"/>
                    <a:lumOff val="5000"/>
                  </a:schemeClr>
                </a:solidFill>
              </a:ln>
            </c:spPr>
            <c:dLblPos val="outEnd"/>
            <c:showLegendKey val="0"/>
            <c:showVal val="1"/>
            <c:showCatName val="0"/>
            <c:showSerName val="0"/>
            <c:showPercent val="0"/>
            <c:showBubbleSize val="0"/>
            <c:showLeaderLines val="0"/>
          </c:dLbls>
          <c:cat>
            <c:numRef>
              <c:f>Přistěhovalí!$R$28:$AA$28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Přistěhovalí!$R$29:$AA$29</c:f>
              <c:numCache>
                <c:formatCode>#,##0.0_ ;\-#,##0.0\ </c:formatCode>
                <c:ptCount val="10"/>
                <c:pt idx="0">
                  <c:v>15.544041450777202</c:v>
                </c:pt>
                <c:pt idx="1">
                  <c:v>14.799693799438632</c:v>
                </c:pt>
                <c:pt idx="2">
                  <c:v>13.642564802182811</c:v>
                </c:pt>
                <c:pt idx="3">
                  <c:v>14.919047215393745</c:v>
                </c:pt>
                <c:pt idx="4">
                  <c:v>16.23045547246771</c:v>
                </c:pt>
                <c:pt idx="5">
                  <c:v>18.393520080998989</c:v>
                </c:pt>
                <c:pt idx="6">
                  <c:v>15.796587261361719</c:v>
                </c:pt>
                <c:pt idx="7">
                  <c:v>16.921905406548778</c:v>
                </c:pt>
                <c:pt idx="8">
                  <c:v>18.614534636634083</c:v>
                </c:pt>
                <c:pt idx="9">
                  <c:v>15.222382855685007</c:v>
                </c:pt>
              </c:numCache>
            </c:numRef>
          </c:val>
        </c:ser>
        <c:dLbls>
          <c:dLblPos val="outEnd"/>
          <c:showLegendKey val="0"/>
          <c:showVal val="1"/>
          <c:showCatName val="0"/>
          <c:showSerName val="0"/>
          <c:showPercent val="0"/>
          <c:showBubbleSize val="0"/>
        </c:dLbls>
        <c:gapWidth val="150"/>
        <c:axId val="43111552"/>
        <c:axId val="43121664"/>
      </c:barChart>
      <c:catAx>
        <c:axId val="43111552"/>
        <c:scaling>
          <c:orientation val="minMax"/>
        </c:scaling>
        <c:delete val="0"/>
        <c:axPos val="b"/>
        <c:numFmt formatCode="General" sourceLinked="1"/>
        <c:majorTickMark val="out"/>
        <c:minorTickMark val="none"/>
        <c:tickLblPos val="nextTo"/>
        <c:crossAx val="43121664"/>
        <c:crosses val="autoZero"/>
        <c:auto val="1"/>
        <c:lblAlgn val="ctr"/>
        <c:lblOffset val="100"/>
        <c:noMultiLvlLbl val="0"/>
      </c:catAx>
      <c:valAx>
        <c:axId val="43121664"/>
        <c:scaling>
          <c:orientation val="minMax"/>
        </c:scaling>
        <c:delete val="0"/>
        <c:axPos val="l"/>
        <c:majorGridlines/>
        <c:numFmt formatCode="#,##0.0_ ;\-#,##0.0\ " sourceLinked="1"/>
        <c:majorTickMark val="out"/>
        <c:minorTickMark val="none"/>
        <c:tickLblPos val="nextTo"/>
        <c:crossAx val="4311155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t>
            </a:r>
            <a:r>
              <a:rPr lang="cs-CZ"/>
              <a:t>řistěhovalí - vystěhovalí</a:t>
            </a:r>
            <a:endParaRPr lang="en-US"/>
          </a:p>
        </c:rich>
      </c:tx>
      <c:overlay val="0"/>
    </c:title>
    <c:autoTitleDeleted val="0"/>
    <c:plotArea>
      <c:layout>
        <c:manualLayout>
          <c:layoutTarget val="inner"/>
          <c:xMode val="edge"/>
          <c:yMode val="edge"/>
          <c:x val="6.174613163469924E-2"/>
          <c:y val="0.19491427046376256"/>
          <c:w val="0.91650936795726057"/>
          <c:h val="0.65536117160339691"/>
        </c:manualLayout>
      </c:layout>
      <c:lineChart>
        <c:grouping val="standard"/>
        <c:varyColors val="0"/>
        <c:ser>
          <c:idx val="0"/>
          <c:order val="0"/>
          <c:tx>
            <c:strRef>
              <c:f>Přistěhovalí!$A$50:$B$50</c:f>
              <c:strCache>
                <c:ptCount val="1"/>
                <c:pt idx="0">
                  <c:v>PŘISTĚHOVALÍ-VYSTĚHOVALÍ</c:v>
                </c:pt>
              </c:strCache>
            </c:strRef>
          </c:tx>
          <c:dLbls>
            <c:dLbl>
              <c:idx val="0"/>
              <c:layout>
                <c:manualLayout>
                  <c:x val="-3.3117683034741059E-2"/>
                  <c:y val="9.1880345745017578E-2"/>
                </c:manualLayout>
              </c:layout>
              <c:showLegendKey val="0"/>
              <c:showVal val="1"/>
              <c:showCatName val="0"/>
              <c:showSerName val="0"/>
              <c:showPercent val="0"/>
              <c:showBubbleSize val="0"/>
            </c:dLbl>
            <c:dLbl>
              <c:idx val="1"/>
              <c:layout>
                <c:manualLayout>
                  <c:x val="-3.3117683034741059E-2"/>
                  <c:y val="8.039530252689038E-2"/>
                </c:manualLayout>
              </c:layout>
              <c:showLegendKey val="0"/>
              <c:showVal val="1"/>
              <c:showCatName val="0"/>
              <c:showSerName val="0"/>
              <c:showPercent val="0"/>
              <c:showBubbleSize val="0"/>
            </c:dLbl>
            <c:dLbl>
              <c:idx val="2"/>
              <c:layout>
                <c:manualLayout>
                  <c:x val="-3.3118204573056566E-2"/>
                  <c:y val="-6.0936209999913428E-2"/>
                </c:manualLayout>
              </c:layout>
              <c:showLegendKey val="0"/>
              <c:showVal val="1"/>
              <c:showCatName val="0"/>
              <c:showSerName val="0"/>
              <c:showPercent val="0"/>
              <c:showBubbleSize val="0"/>
            </c:dLbl>
            <c:dLbl>
              <c:idx val="3"/>
              <c:layout>
                <c:manualLayout>
                  <c:x val="-2.8701991963442249E-2"/>
                  <c:y val="-8.039530252689038E-2"/>
                </c:manualLayout>
              </c:layout>
              <c:showLegendKey val="0"/>
              <c:showVal val="1"/>
              <c:showCatName val="0"/>
              <c:showSerName val="0"/>
              <c:showPercent val="0"/>
              <c:showBubbleSize val="0"/>
            </c:dLbl>
            <c:dLbl>
              <c:idx val="4"/>
              <c:layout>
                <c:manualLayout>
                  <c:x val="-2.8701991963442249E-2"/>
                  <c:y val="7.1097874341504927E-2"/>
                </c:manualLayout>
              </c:layout>
              <c:showLegendKey val="0"/>
              <c:showVal val="1"/>
              <c:showCatName val="0"/>
              <c:showSerName val="0"/>
              <c:showPercent val="0"/>
              <c:showBubbleSize val="0"/>
            </c:dLbl>
            <c:dLbl>
              <c:idx val="5"/>
              <c:layout>
                <c:manualLayout>
                  <c:x val="-3.3119894016339149E-2"/>
                  <c:y val="-5.688551789523584E-2"/>
                </c:manualLayout>
              </c:layout>
              <c:showLegendKey val="0"/>
              <c:showVal val="1"/>
              <c:showCatName val="0"/>
              <c:showSerName val="0"/>
              <c:showPercent val="0"/>
              <c:showBubbleSize val="0"/>
            </c:dLbl>
            <c:dLbl>
              <c:idx val="6"/>
              <c:layout>
                <c:manualLayout>
                  <c:x val="-2.6494146427792846E-2"/>
                  <c:y val="9.0057307499239486E-2"/>
                </c:manualLayout>
              </c:layout>
              <c:showLegendKey val="0"/>
              <c:showVal val="1"/>
              <c:showCatName val="0"/>
              <c:showSerName val="0"/>
              <c:showPercent val="0"/>
              <c:showBubbleSize val="0"/>
            </c:dLbl>
            <c:dLbl>
              <c:idx val="7"/>
              <c:layout>
                <c:manualLayout>
                  <c:x val="-3.0909837499091652E-2"/>
                  <c:y val="8.0577590920372241E-2"/>
                </c:manualLayout>
              </c:layout>
              <c:showLegendKey val="0"/>
              <c:showVal val="1"/>
              <c:showCatName val="0"/>
              <c:showSerName val="0"/>
              <c:showPercent val="0"/>
              <c:showBubbleSize val="0"/>
            </c:dLbl>
            <c:dLbl>
              <c:idx val="8"/>
              <c:layout>
                <c:manualLayout>
                  <c:x val="-3.3117683034741059E-2"/>
                  <c:y val="5.6878299473203942E-2"/>
                </c:manualLayout>
              </c:layout>
              <c:showLegendKey val="0"/>
              <c:showVal val="1"/>
              <c:showCatName val="0"/>
              <c:showSerName val="0"/>
              <c:showPercent val="0"/>
              <c:showBubbleSize val="0"/>
            </c:dLbl>
            <c:dLbl>
              <c:idx val="9"/>
              <c:layout>
                <c:manualLayout>
                  <c:x val="-2.8701991963442249E-2"/>
                  <c:y val="7.109787434150501E-2"/>
                </c:manualLayout>
              </c:layout>
              <c:showLegendKey val="0"/>
              <c:showVal val="1"/>
              <c:showCatName val="0"/>
              <c:showSerName val="0"/>
              <c:showPercent val="0"/>
              <c:showBubbleSize val="0"/>
            </c:dLbl>
            <c:spPr>
              <a:solidFill>
                <a:schemeClr val="bg1"/>
              </a:solidFill>
              <a:ln>
                <a:solidFill>
                  <a:schemeClr val="tx1"/>
                </a:solidFill>
              </a:ln>
            </c:spPr>
            <c:showLegendKey val="0"/>
            <c:showVal val="1"/>
            <c:showCatName val="0"/>
            <c:showSerName val="0"/>
            <c:showPercent val="0"/>
            <c:showBubbleSize val="0"/>
            <c:showLeaderLines val="0"/>
          </c:dLbls>
          <c:cat>
            <c:numRef>
              <c:f>Přistěhovalí!$C$49:$L$49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Přistěhovalí!$C$50:$L$50</c:f>
              <c:numCache>
                <c:formatCode>#,##0_ ;\-#,##0\ </c:formatCode>
                <c:ptCount val="10"/>
                <c:pt idx="0">
                  <c:v>-18</c:v>
                </c:pt>
                <c:pt idx="1">
                  <c:v>-23</c:v>
                </c:pt>
                <c:pt idx="2">
                  <c:v>32</c:v>
                </c:pt>
                <c:pt idx="3">
                  <c:v>2</c:v>
                </c:pt>
                <c:pt idx="4">
                  <c:v>-16</c:v>
                </c:pt>
                <c:pt idx="5">
                  <c:v>31</c:v>
                </c:pt>
                <c:pt idx="6">
                  <c:v>-22</c:v>
                </c:pt>
                <c:pt idx="7">
                  <c:v>-6</c:v>
                </c:pt>
                <c:pt idx="8">
                  <c:v>-66</c:v>
                </c:pt>
                <c:pt idx="9">
                  <c:v>-51</c:v>
                </c:pt>
              </c:numCache>
            </c:numRef>
          </c:val>
          <c:smooth val="0"/>
        </c:ser>
        <c:dLbls>
          <c:showLegendKey val="0"/>
          <c:showVal val="0"/>
          <c:showCatName val="0"/>
          <c:showSerName val="0"/>
          <c:showPercent val="0"/>
          <c:showBubbleSize val="0"/>
        </c:dLbls>
        <c:marker val="1"/>
        <c:smooth val="0"/>
        <c:axId val="43854848"/>
        <c:axId val="43860736"/>
      </c:lineChart>
      <c:catAx>
        <c:axId val="43854848"/>
        <c:scaling>
          <c:orientation val="minMax"/>
        </c:scaling>
        <c:delete val="0"/>
        <c:axPos val="b"/>
        <c:numFmt formatCode="General" sourceLinked="1"/>
        <c:majorTickMark val="out"/>
        <c:minorTickMark val="none"/>
        <c:tickLblPos val="nextTo"/>
        <c:crossAx val="43860736"/>
        <c:crossesAt val="-80"/>
        <c:auto val="1"/>
        <c:lblAlgn val="ctr"/>
        <c:lblOffset val="100"/>
        <c:noMultiLvlLbl val="0"/>
      </c:catAx>
      <c:valAx>
        <c:axId val="43860736"/>
        <c:scaling>
          <c:orientation val="minMax"/>
        </c:scaling>
        <c:delete val="0"/>
        <c:axPos val="l"/>
        <c:majorGridlines/>
        <c:numFmt formatCode="#,##0_ ;\-#,##0\ " sourceLinked="1"/>
        <c:majorTickMark val="out"/>
        <c:minorTickMark val="none"/>
        <c:tickLblPos val="nextTo"/>
        <c:crossAx val="43854848"/>
        <c:crossesAt val="1"/>
        <c:crossBetween val="between"/>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cs-CZ"/>
              <a:t>Počet</a:t>
            </a:r>
            <a:r>
              <a:rPr lang="cs-CZ" baseline="0"/>
              <a:t> sňatků a počet rozvodů</a:t>
            </a:r>
            <a:endParaRPr lang="cs-CZ"/>
          </a:p>
        </c:rich>
      </c:tx>
      <c:overlay val="0"/>
    </c:title>
    <c:autoTitleDeleted val="0"/>
    <c:plotArea>
      <c:layout>
        <c:manualLayout>
          <c:layoutTarget val="inner"/>
          <c:xMode val="edge"/>
          <c:yMode val="edge"/>
          <c:x val="5.8186118287194548E-2"/>
          <c:y val="0.16697444069491313"/>
          <c:w val="0.80189552762624106"/>
          <c:h val="0.73361423572053497"/>
        </c:manualLayout>
      </c:layout>
      <c:lineChart>
        <c:grouping val="standard"/>
        <c:varyColors val="0"/>
        <c:ser>
          <c:idx val="0"/>
          <c:order val="0"/>
          <c:tx>
            <c:strRef>
              <c:f>List1!$B$1</c:f>
              <c:strCache>
                <c:ptCount val="1"/>
                <c:pt idx="0">
                  <c:v>počet sňatků</c:v>
                </c:pt>
              </c:strCache>
            </c:strRef>
          </c:tx>
          <c:dLbls>
            <c:dLbl>
              <c:idx val="0"/>
              <c:layout>
                <c:manualLayout>
                  <c:x val="-3.2876712328767134E-2"/>
                  <c:y val="-5.5555555555555552E-2"/>
                </c:manualLayout>
              </c:layout>
              <c:showLegendKey val="0"/>
              <c:showVal val="1"/>
              <c:showCatName val="0"/>
              <c:showSerName val="0"/>
              <c:showPercent val="0"/>
              <c:showBubbleSize val="0"/>
            </c:dLbl>
            <c:dLbl>
              <c:idx val="1"/>
              <c:layout>
                <c:manualLayout>
                  <c:x val="-2.6942355557417693E-2"/>
                  <c:y val="-7.1428571428571425E-2"/>
                </c:manualLayout>
              </c:layout>
              <c:showLegendKey val="0"/>
              <c:showVal val="1"/>
              <c:showCatName val="0"/>
              <c:showSerName val="0"/>
              <c:showPercent val="0"/>
              <c:showBubbleSize val="0"/>
            </c:dLbl>
            <c:dLbl>
              <c:idx val="2"/>
              <c:layout>
                <c:manualLayout>
                  <c:x val="-3.5923140743223621E-2"/>
                  <c:y val="-6.7460317460317457E-2"/>
                </c:manualLayout>
              </c:layout>
              <c:showLegendKey val="0"/>
              <c:showVal val="1"/>
              <c:showCatName val="0"/>
              <c:showSerName val="0"/>
              <c:showPercent val="0"/>
              <c:showBubbleSize val="0"/>
            </c:dLbl>
            <c:dLbl>
              <c:idx val="3"/>
              <c:layout>
                <c:manualLayout>
                  <c:x val="-3.3677944446772183E-2"/>
                  <c:y val="-5.5555555555555518E-2"/>
                </c:manualLayout>
              </c:layout>
              <c:showLegendKey val="0"/>
              <c:showVal val="1"/>
              <c:showCatName val="0"/>
              <c:showSerName val="0"/>
              <c:showPercent val="0"/>
              <c:showBubbleSize val="0"/>
            </c:dLbl>
            <c:dLbl>
              <c:idx val="4"/>
              <c:layout>
                <c:manualLayout>
                  <c:x val="-3.5923140743223621E-2"/>
                  <c:y val="-7.1428571428571466E-2"/>
                </c:manualLayout>
              </c:layout>
              <c:showLegendKey val="0"/>
              <c:showVal val="1"/>
              <c:showCatName val="0"/>
              <c:showSerName val="0"/>
              <c:showPercent val="0"/>
              <c:showBubbleSize val="0"/>
            </c:dLbl>
            <c:dLbl>
              <c:idx val="5"/>
              <c:layout>
                <c:manualLayout>
                  <c:x val="-3.3677944446772141E-2"/>
                  <c:y val="-5.9523809523809521E-2"/>
                </c:manualLayout>
              </c:layout>
              <c:showLegendKey val="0"/>
              <c:showVal val="1"/>
              <c:showCatName val="0"/>
              <c:showSerName val="0"/>
              <c:showPercent val="0"/>
              <c:showBubbleSize val="0"/>
            </c:dLbl>
            <c:dLbl>
              <c:idx val="6"/>
              <c:layout>
                <c:manualLayout>
                  <c:x val="-3.3677944446772141E-2"/>
                  <c:y val="-6.7460317460317457E-2"/>
                </c:manualLayout>
              </c:layout>
              <c:showLegendKey val="0"/>
              <c:showVal val="1"/>
              <c:showCatName val="0"/>
              <c:showSerName val="0"/>
              <c:showPercent val="0"/>
              <c:showBubbleSize val="0"/>
            </c:dLbl>
            <c:dLbl>
              <c:idx val="7"/>
              <c:layout>
                <c:manualLayout>
                  <c:x val="-3.3677944446772141E-2"/>
                  <c:y val="-7.5396825396825393E-2"/>
                </c:manualLayout>
              </c:layout>
              <c:showLegendKey val="0"/>
              <c:showVal val="1"/>
              <c:showCatName val="0"/>
              <c:showSerName val="0"/>
              <c:showPercent val="0"/>
              <c:showBubbleSize val="0"/>
            </c:dLbl>
            <c:dLbl>
              <c:idx val="8"/>
              <c:layout>
                <c:manualLayout>
                  <c:x val="-3.1432748150320662E-2"/>
                  <c:y val="-5.9523809523809541E-2"/>
                </c:manualLayout>
              </c:layout>
              <c:showLegendKey val="0"/>
              <c:showVal val="1"/>
              <c:showCatName val="0"/>
              <c:showSerName val="0"/>
              <c:showPercent val="0"/>
              <c:showBubbleSize val="0"/>
            </c:dLbl>
            <c:dLbl>
              <c:idx val="9"/>
              <c:layout>
                <c:manualLayout>
                  <c:x val="-1.5716374075160331E-2"/>
                  <c:y val="-6.746031746031754E-2"/>
                </c:manualLayout>
              </c:layout>
              <c:showLegendKey val="0"/>
              <c:showVal val="1"/>
              <c:showCatName val="0"/>
              <c:showSerName val="0"/>
              <c:showPercent val="0"/>
              <c:showBubbleSize val="0"/>
            </c:dLbl>
            <c:spPr>
              <a:solidFill>
                <a:schemeClr val="bg1"/>
              </a:solidFill>
              <a:ln>
                <a:solidFill>
                  <a:schemeClr val="tx1"/>
                </a:solidFill>
              </a:ln>
            </c:spPr>
            <c:showLegendKey val="0"/>
            <c:showVal val="1"/>
            <c:showCatName val="0"/>
            <c:showSerName val="0"/>
            <c:showPercent val="0"/>
            <c:showBubbleSize val="0"/>
            <c:showLeaderLines val="0"/>
          </c:dLbls>
          <c:cat>
            <c:numRef>
              <c:f>List1!$A$2:$A$11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List1!$B$2:$B$11</c:f>
              <c:numCache>
                <c:formatCode>General</c:formatCode>
                <c:ptCount val="10"/>
                <c:pt idx="0">
                  <c:v>70</c:v>
                </c:pt>
                <c:pt idx="1">
                  <c:v>48</c:v>
                </c:pt>
                <c:pt idx="2">
                  <c:v>53</c:v>
                </c:pt>
                <c:pt idx="3">
                  <c:v>57</c:v>
                </c:pt>
                <c:pt idx="4">
                  <c:v>55</c:v>
                </c:pt>
                <c:pt idx="5">
                  <c:v>61</c:v>
                </c:pt>
                <c:pt idx="6">
                  <c:v>61</c:v>
                </c:pt>
                <c:pt idx="7">
                  <c:v>52</c:v>
                </c:pt>
                <c:pt idx="8">
                  <c:v>64</c:v>
                </c:pt>
                <c:pt idx="9">
                  <c:v>32</c:v>
                </c:pt>
              </c:numCache>
            </c:numRef>
          </c:val>
          <c:smooth val="0"/>
        </c:ser>
        <c:ser>
          <c:idx val="1"/>
          <c:order val="1"/>
          <c:tx>
            <c:strRef>
              <c:f>List1!$C$1</c:f>
              <c:strCache>
                <c:ptCount val="1"/>
                <c:pt idx="0">
                  <c:v>počet rozvodů</c:v>
                </c:pt>
              </c:strCache>
            </c:strRef>
          </c:tx>
          <c:dLbls>
            <c:dLbl>
              <c:idx val="0"/>
              <c:layout>
                <c:manualLayout>
                  <c:x val="-3.1432748150320662E-2"/>
                  <c:y val="6.3492063492063419E-2"/>
                </c:manualLayout>
              </c:layout>
              <c:showLegendKey val="0"/>
              <c:showVal val="1"/>
              <c:showCatName val="0"/>
              <c:showSerName val="0"/>
              <c:showPercent val="0"/>
              <c:showBubbleSize val="0"/>
            </c:dLbl>
            <c:dLbl>
              <c:idx val="1"/>
              <c:layout>
                <c:manualLayout>
                  <c:x val="-2.9187551853869169E-2"/>
                  <c:y val="6.3492063492063489E-2"/>
                </c:manualLayout>
              </c:layout>
              <c:showLegendKey val="0"/>
              <c:showVal val="1"/>
              <c:showCatName val="0"/>
              <c:showSerName val="0"/>
              <c:showPercent val="0"/>
              <c:showBubbleSize val="0"/>
            </c:dLbl>
            <c:dLbl>
              <c:idx val="2"/>
              <c:layout>
                <c:manualLayout>
                  <c:x val="-2.918755185386919E-2"/>
                  <c:y val="6.3492063492063489E-2"/>
                </c:manualLayout>
              </c:layout>
              <c:showLegendKey val="0"/>
              <c:showVal val="1"/>
              <c:showCatName val="0"/>
              <c:showSerName val="0"/>
              <c:showPercent val="0"/>
              <c:showBubbleSize val="0"/>
            </c:dLbl>
            <c:dLbl>
              <c:idx val="3"/>
              <c:layout>
                <c:manualLayout>
                  <c:x val="-3.1432748150320704E-2"/>
                  <c:y val="6.7460317460317457E-2"/>
                </c:manualLayout>
              </c:layout>
              <c:showLegendKey val="0"/>
              <c:showVal val="1"/>
              <c:showCatName val="0"/>
              <c:showSerName val="0"/>
              <c:showPercent val="0"/>
              <c:showBubbleSize val="0"/>
            </c:dLbl>
            <c:dLbl>
              <c:idx val="4"/>
              <c:layout>
                <c:manualLayout>
                  <c:x val="-3.1432748150320662E-2"/>
                  <c:y val="6.7460317460317457E-2"/>
                </c:manualLayout>
              </c:layout>
              <c:showLegendKey val="0"/>
              <c:showVal val="1"/>
              <c:showCatName val="0"/>
              <c:showSerName val="0"/>
              <c:showPercent val="0"/>
              <c:showBubbleSize val="0"/>
            </c:dLbl>
            <c:dLbl>
              <c:idx val="5"/>
              <c:layout>
                <c:manualLayout>
                  <c:x val="-2.1916408746200221E-2"/>
                  <c:y val="5.9523809523809521E-2"/>
                </c:manualLayout>
              </c:layout>
              <c:showLegendKey val="0"/>
              <c:showVal val="1"/>
              <c:showCatName val="0"/>
              <c:showSerName val="0"/>
              <c:showPercent val="0"/>
              <c:showBubbleSize val="0"/>
            </c:dLbl>
            <c:dLbl>
              <c:idx val="6"/>
              <c:layout>
                <c:manualLayout>
                  <c:x val="-2.6299690495440266E-2"/>
                  <c:y val="6.7460317460317457E-2"/>
                </c:manualLayout>
              </c:layout>
              <c:showLegendKey val="0"/>
              <c:showVal val="1"/>
              <c:showCatName val="0"/>
              <c:showSerName val="0"/>
              <c:showPercent val="0"/>
              <c:showBubbleSize val="0"/>
            </c:dLbl>
            <c:dLbl>
              <c:idx val="7"/>
              <c:layout>
                <c:manualLayout>
                  <c:x val="-2.6942355557417714E-2"/>
                  <c:y val="6.7460317460317457E-2"/>
                </c:manualLayout>
              </c:layout>
              <c:showLegendKey val="0"/>
              <c:showVal val="1"/>
              <c:showCatName val="0"/>
              <c:showSerName val="0"/>
              <c:showPercent val="0"/>
              <c:showBubbleSize val="0"/>
            </c:dLbl>
            <c:dLbl>
              <c:idx val="8"/>
              <c:layout>
                <c:manualLayout>
                  <c:x val="-3.3677944446772141E-2"/>
                  <c:y val="6.7460317460317457E-2"/>
                </c:manualLayout>
              </c:layout>
              <c:showLegendKey val="0"/>
              <c:showVal val="1"/>
              <c:showCatName val="0"/>
              <c:showSerName val="0"/>
              <c:showPercent val="0"/>
              <c:showBubbleSize val="0"/>
            </c:dLbl>
            <c:dLbl>
              <c:idx val="9"/>
              <c:layout>
                <c:manualLayout>
                  <c:x val="-2.918755185386919E-2"/>
                  <c:y val="5.9523809523809521E-2"/>
                </c:manualLayout>
              </c:layout>
              <c:showLegendKey val="0"/>
              <c:showVal val="1"/>
              <c:showCatName val="0"/>
              <c:showSerName val="0"/>
              <c:showPercent val="0"/>
              <c:showBubbleSize val="0"/>
            </c:dLbl>
            <c:spPr>
              <a:solidFill>
                <a:schemeClr val="bg1"/>
              </a:solidFill>
              <a:ln>
                <a:solidFill>
                  <a:schemeClr val="tx1"/>
                </a:solidFill>
              </a:ln>
            </c:spPr>
            <c:showLegendKey val="0"/>
            <c:showVal val="1"/>
            <c:showCatName val="0"/>
            <c:showSerName val="0"/>
            <c:showPercent val="0"/>
            <c:showBubbleSize val="0"/>
            <c:showLeaderLines val="0"/>
          </c:dLbls>
          <c:cat>
            <c:numRef>
              <c:f>List1!$A$2:$A$11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List1!$C$2:$C$11</c:f>
              <c:numCache>
                <c:formatCode>General</c:formatCode>
                <c:ptCount val="10"/>
                <c:pt idx="0">
                  <c:v>32</c:v>
                </c:pt>
                <c:pt idx="1">
                  <c:v>29</c:v>
                </c:pt>
                <c:pt idx="2">
                  <c:v>37</c:v>
                </c:pt>
                <c:pt idx="3">
                  <c:v>37</c:v>
                </c:pt>
                <c:pt idx="4">
                  <c:v>29</c:v>
                </c:pt>
                <c:pt idx="5">
                  <c:v>31</c:v>
                </c:pt>
                <c:pt idx="6">
                  <c:v>32</c:v>
                </c:pt>
                <c:pt idx="7">
                  <c:v>44</c:v>
                </c:pt>
                <c:pt idx="8">
                  <c:v>38</c:v>
                </c:pt>
                <c:pt idx="9">
                  <c:v>26</c:v>
                </c:pt>
              </c:numCache>
            </c:numRef>
          </c:val>
          <c:smooth val="0"/>
        </c:ser>
        <c:dLbls>
          <c:showLegendKey val="0"/>
          <c:showVal val="0"/>
          <c:showCatName val="0"/>
          <c:showSerName val="0"/>
          <c:showPercent val="0"/>
          <c:showBubbleSize val="0"/>
        </c:dLbls>
        <c:marker val="1"/>
        <c:smooth val="0"/>
        <c:axId val="43883136"/>
        <c:axId val="43897216"/>
      </c:lineChart>
      <c:catAx>
        <c:axId val="43883136"/>
        <c:scaling>
          <c:orientation val="minMax"/>
        </c:scaling>
        <c:delete val="0"/>
        <c:axPos val="b"/>
        <c:numFmt formatCode="General" sourceLinked="1"/>
        <c:majorTickMark val="out"/>
        <c:minorTickMark val="none"/>
        <c:tickLblPos val="nextTo"/>
        <c:crossAx val="43897216"/>
        <c:crosses val="autoZero"/>
        <c:auto val="1"/>
        <c:lblAlgn val="ctr"/>
        <c:lblOffset val="100"/>
        <c:noMultiLvlLbl val="0"/>
      </c:catAx>
      <c:valAx>
        <c:axId val="43897216"/>
        <c:scaling>
          <c:orientation val="minMax"/>
        </c:scaling>
        <c:delete val="0"/>
        <c:axPos val="l"/>
        <c:majorGridlines/>
        <c:numFmt formatCode="General" sourceLinked="1"/>
        <c:majorTickMark val="out"/>
        <c:minorTickMark val="none"/>
        <c:tickLblPos val="nextTo"/>
        <c:crossAx val="43883136"/>
        <c:crosses val="autoZero"/>
        <c:crossBetween val="between"/>
      </c:valAx>
    </c:plotArea>
    <c:legend>
      <c:legendPos val="r"/>
      <c:layout>
        <c:manualLayout>
          <c:xMode val="edge"/>
          <c:yMode val="edge"/>
          <c:x val="0.86000794481272147"/>
          <c:y val="0.34287526559180104"/>
          <c:w val="0.13776771976980196"/>
          <c:h val="0.3260548681414823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cs-CZ"/>
              <a:t>P</a:t>
            </a:r>
            <a:r>
              <a:rPr lang="en-US"/>
              <a:t>očet rozvodů na 100 sňatků</a:t>
            </a:r>
          </a:p>
        </c:rich>
      </c:tx>
      <c:overlay val="0"/>
    </c:title>
    <c:autoTitleDeleted val="0"/>
    <c:plotArea>
      <c:layout>
        <c:manualLayout>
          <c:layoutTarget val="inner"/>
          <c:xMode val="edge"/>
          <c:yMode val="edge"/>
          <c:x val="5.7859847852249957E-2"/>
          <c:y val="0.1875346987534067"/>
          <c:w val="0.92988243831589024"/>
          <c:h val="0.70081304750333917"/>
        </c:manualLayout>
      </c:layout>
      <c:lineChart>
        <c:grouping val="stacked"/>
        <c:varyColors val="0"/>
        <c:ser>
          <c:idx val="0"/>
          <c:order val="0"/>
          <c:tx>
            <c:strRef>
              <c:f>List1!$B$1</c:f>
              <c:strCache>
                <c:ptCount val="1"/>
                <c:pt idx="0">
                  <c:v>počet rozvodů na 100 sňatků</c:v>
                </c:pt>
              </c:strCache>
            </c:strRef>
          </c:tx>
          <c:dLbls>
            <c:dLbl>
              <c:idx val="1"/>
              <c:layout>
                <c:manualLayout>
                  <c:x val="-4.7671777988185816E-2"/>
                  <c:y val="-7.0853187512589816E-2"/>
                </c:manualLayout>
              </c:layout>
              <c:dLblPos val="r"/>
              <c:showLegendKey val="0"/>
              <c:showVal val="1"/>
              <c:showCatName val="0"/>
              <c:showSerName val="0"/>
              <c:showPercent val="0"/>
              <c:showBubbleSize val="0"/>
            </c:dLbl>
            <c:dLbl>
              <c:idx val="2"/>
              <c:layout>
                <c:manualLayout>
                  <c:x val="-4.0973957961598459E-2"/>
                  <c:y val="-7.0853187512589816E-2"/>
                </c:manualLayout>
              </c:layout>
              <c:dLblPos val="r"/>
              <c:showLegendKey val="0"/>
              <c:showVal val="1"/>
              <c:showCatName val="0"/>
              <c:showSerName val="0"/>
              <c:showPercent val="0"/>
              <c:showBubbleSize val="0"/>
            </c:dLbl>
            <c:dLbl>
              <c:idx val="3"/>
              <c:layout>
                <c:manualLayout>
                  <c:x val="-3.2043531259481985E-2"/>
                  <c:y val="-6.1939424311271418E-2"/>
                </c:manualLayout>
              </c:layout>
              <c:dLblPos val="r"/>
              <c:showLegendKey val="0"/>
              <c:showVal val="1"/>
              <c:showCatName val="0"/>
              <c:showSerName val="0"/>
              <c:showPercent val="0"/>
              <c:showBubbleSize val="0"/>
            </c:dLbl>
            <c:dLbl>
              <c:idx val="7"/>
              <c:layout>
                <c:manualLayout>
                  <c:x val="-4.0973957961598459E-2"/>
                  <c:y val="-6.1939424311271418E-2"/>
                </c:manualLayout>
              </c:layout>
              <c:dLblPos val="r"/>
              <c:showLegendKey val="0"/>
              <c:showVal val="1"/>
              <c:showCatName val="0"/>
              <c:showSerName val="0"/>
              <c:showPercent val="0"/>
              <c:showBubbleSize val="0"/>
            </c:dLbl>
            <c:dLbl>
              <c:idx val="9"/>
              <c:layout>
                <c:manualLayout>
                  <c:x val="-4.0973957961598459E-2"/>
                  <c:y val="-6.1939424311271418E-2"/>
                </c:manualLayout>
              </c:layout>
              <c:dLblPos val="r"/>
              <c:showLegendKey val="0"/>
              <c:showVal val="1"/>
              <c:showCatName val="0"/>
              <c:showSerName val="0"/>
              <c:showPercent val="0"/>
              <c:showBubbleSize val="0"/>
            </c:dLbl>
            <c:spPr>
              <a:solidFill>
                <a:schemeClr val="bg1"/>
              </a:solidFill>
              <a:ln>
                <a:solidFill>
                  <a:schemeClr val="tx1"/>
                </a:solidFill>
              </a:ln>
            </c:spPr>
            <c:dLblPos val="b"/>
            <c:showLegendKey val="0"/>
            <c:showVal val="1"/>
            <c:showCatName val="0"/>
            <c:showSerName val="0"/>
            <c:showPercent val="0"/>
            <c:showBubbleSize val="0"/>
            <c:showLeaderLines val="0"/>
          </c:dLbls>
          <c:cat>
            <c:numRef>
              <c:f>List1!$A$2:$A$11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List1!$B$2:$B$11</c:f>
              <c:numCache>
                <c:formatCode>General</c:formatCode>
                <c:ptCount val="10"/>
                <c:pt idx="0">
                  <c:v>45.7</c:v>
                </c:pt>
                <c:pt idx="1">
                  <c:v>60.4</c:v>
                </c:pt>
                <c:pt idx="2">
                  <c:v>69.8</c:v>
                </c:pt>
                <c:pt idx="3">
                  <c:v>64.900000000000006</c:v>
                </c:pt>
                <c:pt idx="4">
                  <c:v>52.7</c:v>
                </c:pt>
                <c:pt idx="5">
                  <c:v>50.8</c:v>
                </c:pt>
                <c:pt idx="6">
                  <c:v>52.5</c:v>
                </c:pt>
                <c:pt idx="7">
                  <c:v>84.6</c:v>
                </c:pt>
                <c:pt idx="8">
                  <c:v>59.4</c:v>
                </c:pt>
                <c:pt idx="9">
                  <c:v>81.3</c:v>
                </c:pt>
              </c:numCache>
            </c:numRef>
          </c:val>
          <c:smooth val="0"/>
        </c:ser>
        <c:dLbls>
          <c:showLegendKey val="0"/>
          <c:showVal val="0"/>
          <c:showCatName val="0"/>
          <c:showSerName val="0"/>
          <c:showPercent val="0"/>
          <c:showBubbleSize val="0"/>
        </c:dLbls>
        <c:marker val="1"/>
        <c:smooth val="0"/>
        <c:axId val="44606592"/>
        <c:axId val="44608128"/>
      </c:lineChart>
      <c:catAx>
        <c:axId val="44606592"/>
        <c:scaling>
          <c:orientation val="minMax"/>
        </c:scaling>
        <c:delete val="0"/>
        <c:axPos val="b"/>
        <c:numFmt formatCode="General" sourceLinked="1"/>
        <c:majorTickMark val="out"/>
        <c:minorTickMark val="none"/>
        <c:tickLblPos val="nextTo"/>
        <c:crossAx val="44608128"/>
        <c:crosses val="autoZero"/>
        <c:auto val="1"/>
        <c:lblAlgn val="ctr"/>
        <c:lblOffset val="100"/>
        <c:noMultiLvlLbl val="0"/>
      </c:catAx>
      <c:valAx>
        <c:axId val="44608128"/>
        <c:scaling>
          <c:orientation val="minMax"/>
        </c:scaling>
        <c:delete val="0"/>
        <c:axPos val="l"/>
        <c:majorGridlines/>
        <c:numFmt formatCode="General" sourceLinked="1"/>
        <c:majorTickMark val="out"/>
        <c:minorTickMark val="none"/>
        <c:tickLblPos val="nextTo"/>
        <c:crossAx val="44606592"/>
        <c:crosses val="autoZero"/>
        <c:crossBetween val="between"/>
      </c:valAx>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cs-CZ"/>
        </a:p>
      </c:txPr>
    </c:title>
    <c:autoTitleDeleted val="0"/>
    <c:plotArea>
      <c:layout>
        <c:manualLayout>
          <c:layoutTarget val="inner"/>
          <c:xMode val="edge"/>
          <c:yMode val="edge"/>
          <c:x val="0.1251292286380869"/>
          <c:y val="0.22804741290952721"/>
          <c:w val="0.82650845727617384"/>
          <c:h val="0.55489579358031305"/>
        </c:manualLayout>
      </c:layout>
      <c:barChart>
        <c:barDir val="bar"/>
        <c:grouping val="clustered"/>
        <c:varyColors val="0"/>
        <c:ser>
          <c:idx val="0"/>
          <c:order val="0"/>
          <c:tx>
            <c:strRef>
              <c:f>List1!$B$1</c:f>
              <c:strCache>
                <c:ptCount val="1"/>
                <c:pt idx="0">
                  <c:v>Podíl častky na sociální služby na celkový rozpočet města</c:v>
                </c:pt>
              </c:strCache>
            </c:strRef>
          </c:tx>
          <c:spPr>
            <a:ln>
              <a:solidFill>
                <a:schemeClr val="tx1">
                  <a:lumMod val="95000"/>
                  <a:lumOff val="5000"/>
                </a:schemeClr>
              </a:solidFill>
            </a:ln>
          </c:spPr>
          <c:invertIfNegative val="0"/>
          <c:dPt>
            <c:idx val="0"/>
            <c:invertIfNegative val="0"/>
            <c:bubble3D val="0"/>
            <c:spPr>
              <a:solidFill>
                <a:schemeClr val="accent2"/>
              </a:solidFill>
              <a:ln>
                <a:solidFill>
                  <a:schemeClr val="tx1">
                    <a:lumMod val="95000"/>
                    <a:lumOff val="5000"/>
                  </a:schemeClr>
                </a:solidFill>
              </a:ln>
            </c:spPr>
          </c:dPt>
          <c:dPt>
            <c:idx val="1"/>
            <c:invertIfNegative val="0"/>
            <c:bubble3D val="0"/>
            <c:spPr>
              <a:solidFill>
                <a:schemeClr val="accent2"/>
              </a:solidFill>
              <a:ln>
                <a:solidFill>
                  <a:schemeClr val="tx1">
                    <a:lumMod val="95000"/>
                    <a:lumOff val="5000"/>
                  </a:schemeClr>
                </a:solidFill>
              </a:ln>
            </c:spPr>
          </c:dPt>
          <c:dLbls>
            <c:spPr>
              <a:solidFill>
                <a:schemeClr val="bg1"/>
              </a:solidFill>
              <a:ln>
                <a:solidFill>
                  <a:schemeClr val="tx1">
                    <a:lumMod val="95000"/>
                    <a:lumOff val="5000"/>
                  </a:schemeClr>
                </a:solidFill>
              </a:ln>
            </c:spPr>
            <c:dLblPos val="outEnd"/>
            <c:showLegendKey val="0"/>
            <c:showVal val="1"/>
            <c:showCatName val="0"/>
            <c:showSerName val="0"/>
            <c:showPercent val="0"/>
            <c:showBubbleSize val="0"/>
            <c:showLeaderLines val="0"/>
          </c:dLbls>
          <c:cat>
            <c:numRef>
              <c:f>List1!$A$2:$A$3</c:f>
              <c:numCache>
                <c:formatCode>General</c:formatCode>
                <c:ptCount val="2"/>
                <c:pt idx="0">
                  <c:v>2013</c:v>
                </c:pt>
                <c:pt idx="1">
                  <c:v>2012</c:v>
                </c:pt>
              </c:numCache>
            </c:numRef>
          </c:cat>
          <c:val>
            <c:numRef>
              <c:f>List1!$B$2:$B$3</c:f>
              <c:numCache>
                <c:formatCode>0.0%</c:formatCode>
                <c:ptCount val="2"/>
                <c:pt idx="0">
                  <c:v>3.9399999999999998E-2</c:v>
                </c:pt>
                <c:pt idx="1">
                  <c:v>2.58E-2</c:v>
                </c:pt>
              </c:numCache>
            </c:numRef>
          </c:val>
        </c:ser>
        <c:dLbls>
          <c:dLblPos val="outEnd"/>
          <c:showLegendKey val="0"/>
          <c:showVal val="1"/>
          <c:showCatName val="0"/>
          <c:showSerName val="0"/>
          <c:showPercent val="0"/>
          <c:showBubbleSize val="0"/>
        </c:dLbls>
        <c:gapWidth val="150"/>
        <c:axId val="44717568"/>
        <c:axId val="44721280"/>
      </c:barChart>
      <c:catAx>
        <c:axId val="44717568"/>
        <c:scaling>
          <c:orientation val="minMax"/>
        </c:scaling>
        <c:delete val="0"/>
        <c:axPos val="l"/>
        <c:numFmt formatCode="General" sourceLinked="1"/>
        <c:majorTickMark val="out"/>
        <c:minorTickMark val="none"/>
        <c:tickLblPos val="nextTo"/>
        <c:txPr>
          <a:bodyPr/>
          <a:lstStyle/>
          <a:p>
            <a:pPr>
              <a:defRPr sz="1400" b="1"/>
            </a:pPr>
            <a:endParaRPr lang="cs-CZ"/>
          </a:p>
        </c:txPr>
        <c:crossAx val="44721280"/>
        <c:crosses val="autoZero"/>
        <c:auto val="1"/>
        <c:lblAlgn val="ctr"/>
        <c:lblOffset val="100"/>
        <c:noMultiLvlLbl val="0"/>
      </c:catAx>
      <c:valAx>
        <c:axId val="44721280"/>
        <c:scaling>
          <c:orientation val="minMax"/>
          <c:max val="0.1"/>
        </c:scaling>
        <c:delete val="0"/>
        <c:axPos val="b"/>
        <c:majorGridlines/>
        <c:numFmt formatCode="0.0%" sourceLinked="1"/>
        <c:majorTickMark val="out"/>
        <c:minorTickMark val="none"/>
        <c:tickLblPos val="nextTo"/>
        <c:crossAx val="4471756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Č</a:t>
            </a:r>
            <a:r>
              <a:rPr lang="en-US" sz="1200"/>
              <a:t>ástk</a:t>
            </a:r>
            <a:r>
              <a:rPr lang="cs-CZ" sz="1200"/>
              <a:t>a</a:t>
            </a:r>
            <a:r>
              <a:rPr lang="en-US" sz="1200"/>
              <a:t> </a:t>
            </a:r>
            <a:r>
              <a:rPr lang="cs-CZ" sz="1200"/>
              <a:t>určená </a:t>
            </a:r>
            <a:r>
              <a:rPr lang="en-US" sz="1200"/>
              <a:t>na sociální služby v přepočtu na jednoho obyvatele</a:t>
            </a:r>
          </a:p>
        </c:rich>
      </c:tx>
      <c:overlay val="0"/>
    </c:title>
    <c:autoTitleDeleted val="0"/>
    <c:plotArea>
      <c:layout>
        <c:manualLayout>
          <c:layoutTarget val="inner"/>
          <c:xMode val="edge"/>
          <c:yMode val="edge"/>
          <c:x val="0.1251292286380869"/>
          <c:y val="0.24166724734629411"/>
          <c:w val="0.82650845727617384"/>
          <c:h val="0.55006719981422081"/>
        </c:manualLayout>
      </c:layout>
      <c:barChart>
        <c:barDir val="bar"/>
        <c:grouping val="clustered"/>
        <c:varyColors val="0"/>
        <c:ser>
          <c:idx val="0"/>
          <c:order val="0"/>
          <c:tx>
            <c:strRef>
              <c:f>List1!$B$1</c:f>
              <c:strCache>
                <c:ptCount val="1"/>
                <c:pt idx="0">
                  <c:v>Podíl částky na sociální služby v přepočtu na jednoho obyvatele</c:v>
                </c:pt>
              </c:strCache>
            </c:strRef>
          </c:tx>
          <c:spPr>
            <a:ln>
              <a:solidFill>
                <a:schemeClr val="tx1">
                  <a:lumMod val="95000"/>
                  <a:lumOff val="5000"/>
                </a:schemeClr>
              </a:solidFill>
            </a:ln>
          </c:spPr>
          <c:invertIfNegative val="0"/>
          <c:dPt>
            <c:idx val="0"/>
            <c:invertIfNegative val="0"/>
            <c:bubble3D val="0"/>
            <c:spPr>
              <a:solidFill>
                <a:schemeClr val="accent2"/>
              </a:solidFill>
              <a:ln>
                <a:solidFill>
                  <a:schemeClr val="tx1">
                    <a:lumMod val="95000"/>
                    <a:lumOff val="5000"/>
                  </a:schemeClr>
                </a:solidFill>
              </a:ln>
            </c:spPr>
          </c:dPt>
          <c:dPt>
            <c:idx val="1"/>
            <c:invertIfNegative val="0"/>
            <c:bubble3D val="0"/>
            <c:spPr>
              <a:solidFill>
                <a:schemeClr val="accent2"/>
              </a:solidFill>
              <a:ln>
                <a:solidFill>
                  <a:schemeClr val="tx1">
                    <a:lumMod val="95000"/>
                    <a:lumOff val="5000"/>
                  </a:schemeClr>
                </a:solidFill>
              </a:ln>
            </c:spPr>
          </c:dPt>
          <c:dLbls>
            <c:spPr>
              <a:solidFill>
                <a:schemeClr val="bg1"/>
              </a:solidFill>
              <a:ln>
                <a:solidFill>
                  <a:schemeClr val="tx1">
                    <a:lumMod val="95000"/>
                    <a:lumOff val="5000"/>
                  </a:schemeClr>
                </a:solidFill>
              </a:ln>
            </c:spPr>
            <c:dLblPos val="outEnd"/>
            <c:showLegendKey val="0"/>
            <c:showVal val="1"/>
            <c:showCatName val="0"/>
            <c:showSerName val="0"/>
            <c:showPercent val="0"/>
            <c:showBubbleSize val="0"/>
            <c:showLeaderLines val="0"/>
          </c:dLbls>
          <c:cat>
            <c:numRef>
              <c:f>List1!$A$2:$A$3</c:f>
              <c:numCache>
                <c:formatCode>General</c:formatCode>
                <c:ptCount val="2"/>
                <c:pt idx="0">
                  <c:v>2013</c:v>
                </c:pt>
                <c:pt idx="1">
                  <c:v>2012</c:v>
                </c:pt>
              </c:numCache>
            </c:numRef>
          </c:cat>
          <c:val>
            <c:numRef>
              <c:f>List1!$B$2:$B$3</c:f>
              <c:numCache>
                <c:formatCode>0.0</c:formatCode>
                <c:ptCount val="2"/>
                <c:pt idx="0">
                  <c:v>537</c:v>
                </c:pt>
                <c:pt idx="1">
                  <c:v>380.9</c:v>
                </c:pt>
              </c:numCache>
            </c:numRef>
          </c:val>
        </c:ser>
        <c:dLbls>
          <c:dLblPos val="outEnd"/>
          <c:showLegendKey val="0"/>
          <c:showVal val="1"/>
          <c:showCatName val="0"/>
          <c:showSerName val="0"/>
          <c:showPercent val="0"/>
          <c:showBubbleSize val="0"/>
        </c:dLbls>
        <c:gapWidth val="150"/>
        <c:axId val="45621248"/>
        <c:axId val="45624704"/>
      </c:barChart>
      <c:catAx>
        <c:axId val="45621248"/>
        <c:scaling>
          <c:orientation val="minMax"/>
        </c:scaling>
        <c:delete val="0"/>
        <c:axPos val="l"/>
        <c:numFmt formatCode="General" sourceLinked="1"/>
        <c:majorTickMark val="out"/>
        <c:minorTickMark val="none"/>
        <c:tickLblPos val="nextTo"/>
        <c:txPr>
          <a:bodyPr/>
          <a:lstStyle/>
          <a:p>
            <a:pPr>
              <a:defRPr sz="1400" b="1"/>
            </a:pPr>
            <a:endParaRPr lang="cs-CZ"/>
          </a:p>
        </c:txPr>
        <c:crossAx val="45624704"/>
        <c:crosses val="autoZero"/>
        <c:auto val="1"/>
        <c:lblAlgn val="ctr"/>
        <c:lblOffset val="100"/>
        <c:noMultiLvlLbl val="0"/>
      </c:catAx>
      <c:valAx>
        <c:axId val="45624704"/>
        <c:scaling>
          <c:orientation val="minMax"/>
          <c:max val="600"/>
        </c:scaling>
        <c:delete val="0"/>
        <c:axPos val="b"/>
        <c:majorGridlines/>
        <c:numFmt formatCode="0" sourceLinked="0"/>
        <c:majorTickMark val="out"/>
        <c:minorTickMark val="none"/>
        <c:tickLblPos val="nextTo"/>
        <c:crossAx val="45621248"/>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cs-CZ" sz="1000" b="1" i="0" u="none" strike="noStrike" baseline="0">
                <a:effectLst/>
              </a:rPr>
              <a:t>Jaký je Váš vztah k problematice sociálních služeb pro seniory?</a:t>
            </a:r>
            <a:endParaRPr lang="cs-CZ" sz="1000">
              <a:latin typeface="Arial" pitchFamily="34" charset="0"/>
              <a:cs typeface="Arial" pitchFamily="34" charset="0"/>
            </a:endParaRPr>
          </a:p>
        </c:rich>
      </c:tx>
      <c:overlay val="0"/>
    </c:title>
    <c:autoTitleDeleted val="0"/>
    <c:plotArea>
      <c:layout>
        <c:manualLayout>
          <c:layoutTarget val="inner"/>
          <c:xMode val="edge"/>
          <c:yMode val="edge"/>
          <c:x val="5.0984469290643153E-2"/>
          <c:y val="0.15016889360279453"/>
          <c:w val="0.87487510469133634"/>
          <c:h val="0.30989994661237541"/>
        </c:manualLayout>
      </c:layout>
      <c:barChart>
        <c:barDir val="bar"/>
        <c:grouping val="percentStacked"/>
        <c:varyColors val="0"/>
        <c:ser>
          <c:idx val="0"/>
          <c:order val="0"/>
          <c:tx>
            <c:strRef>
              <c:f>List1!$B$1</c:f>
              <c:strCache>
                <c:ptCount val="1"/>
                <c:pt idx="0">
                  <c:v>Sám(a) jsem senior(ka), ale žádné sociální služby nevyužívám.</c:v>
                </c:pt>
              </c:strCache>
            </c:strRef>
          </c:tx>
          <c:spPr>
            <a:solidFill>
              <a:srgbClr val="960000"/>
            </a:solidFill>
            <a:ln>
              <a:solidFill>
                <a:schemeClr val="tx1"/>
              </a:solidFill>
            </a:ln>
          </c:spPr>
          <c:invertIfNegative val="0"/>
          <c:dLbls>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List1!$B$2</c:f>
              <c:numCache>
                <c:formatCode>0.0%</c:formatCode>
                <c:ptCount val="1"/>
                <c:pt idx="0">
                  <c:v>0.27</c:v>
                </c:pt>
              </c:numCache>
            </c:numRef>
          </c:val>
        </c:ser>
        <c:ser>
          <c:idx val="1"/>
          <c:order val="1"/>
          <c:tx>
            <c:strRef>
              <c:f>List1!$C$1</c:f>
              <c:strCache>
                <c:ptCount val="1"/>
                <c:pt idx="0">
                  <c:v>Pečuji o rodinného příslušníka nebo jinou blízkou osobu, která užívá služby pro seniory. </c:v>
                </c:pt>
              </c:strCache>
            </c:strRef>
          </c:tx>
          <c:spPr>
            <a:solidFill>
              <a:srgbClr val="FFC000"/>
            </a:solidFill>
            <a:ln>
              <a:solidFill>
                <a:schemeClr val="tx1"/>
              </a:solidFill>
            </a:ln>
          </c:spPr>
          <c:invertIfNegative val="0"/>
          <c:dLbls>
            <c:dLbl>
              <c:idx val="0"/>
              <c:layout>
                <c:manualLayout>
                  <c:x val="-1.2159649246232033E-5"/>
                  <c:y val="0"/>
                </c:manualLayout>
              </c:layout>
              <c:showLegendKey val="0"/>
              <c:showVal val="1"/>
              <c:showCatName val="0"/>
              <c:showSerName val="0"/>
              <c:showPercent val="0"/>
              <c:showBubbleSize val="0"/>
            </c:dLbl>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List1!$C$2</c:f>
              <c:numCache>
                <c:formatCode>0.0%</c:formatCode>
                <c:ptCount val="1"/>
                <c:pt idx="0">
                  <c:v>4.2999999999999997E-2</c:v>
                </c:pt>
              </c:numCache>
            </c:numRef>
          </c:val>
        </c:ser>
        <c:ser>
          <c:idx val="2"/>
          <c:order val="2"/>
          <c:tx>
            <c:strRef>
              <c:f>List1!$D$1</c:f>
              <c:strCache>
                <c:ptCount val="1"/>
                <c:pt idx="0">
                  <c:v>Pečuji o rodinného příslušníka nebo jinou blízkou osobu, ale žádné služby nevyužíváme.</c:v>
                </c:pt>
              </c:strCache>
            </c:strRef>
          </c:tx>
          <c:spPr>
            <a:solidFill>
              <a:srgbClr val="00B050"/>
            </a:solidFill>
            <a:ln>
              <a:solidFill>
                <a:schemeClr val="tx1"/>
              </a:solidFill>
            </a:ln>
          </c:spPr>
          <c:invertIfNegative val="0"/>
          <c:dLbls>
            <c:dLbl>
              <c:idx val="0"/>
              <c:layout>
                <c:manualLayout>
                  <c:x val="-9.2065915721471131E-6"/>
                  <c:y val="0"/>
                </c:manualLayout>
              </c:layout>
              <c:showLegendKey val="0"/>
              <c:showVal val="1"/>
              <c:showCatName val="0"/>
              <c:showSerName val="0"/>
              <c:showPercent val="0"/>
              <c:showBubbleSize val="0"/>
            </c:dLbl>
            <c:dLbl>
              <c:idx val="1"/>
              <c:layout>
                <c:manualLayout>
                  <c:x val="-9.0395480225988704E-3"/>
                  <c:y val="-7.2750482331543374E-17"/>
                </c:manualLayout>
              </c:layout>
              <c:showLegendKey val="0"/>
              <c:showVal val="1"/>
              <c:showCatName val="0"/>
              <c:showSerName val="0"/>
              <c:showPercent val="0"/>
              <c:showBubbleSize val="0"/>
            </c:dLbl>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List1!$D$2</c:f>
              <c:numCache>
                <c:formatCode>0.0%</c:formatCode>
                <c:ptCount val="1"/>
                <c:pt idx="0">
                  <c:v>4.2999999999999997E-2</c:v>
                </c:pt>
              </c:numCache>
            </c:numRef>
          </c:val>
        </c:ser>
        <c:ser>
          <c:idx val="3"/>
          <c:order val="3"/>
          <c:tx>
            <c:strRef>
              <c:f>List1!$E$1</c:f>
              <c:strCache>
                <c:ptCount val="1"/>
                <c:pt idx="0">
                  <c:v>Sám(a) jsem uživatelem/uživatelkou některých sociálních služeb pro seniory.</c:v>
                </c:pt>
              </c:strCache>
            </c:strRef>
          </c:tx>
          <c:spPr>
            <a:solidFill>
              <a:srgbClr val="00B0F0"/>
            </a:solidFill>
            <a:ln>
              <a:solidFill>
                <a:schemeClr val="tx1"/>
              </a:solidFill>
            </a:ln>
          </c:spPr>
          <c:invertIfNegative val="0"/>
          <c:dPt>
            <c:idx val="0"/>
            <c:invertIfNegative val="0"/>
            <c:bubble3D val="0"/>
          </c:dPt>
          <c:dLbls>
            <c:dLbl>
              <c:idx val="1"/>
              <c:delete val="1"/>
            </c:dLbl>
            <c:dLbl>
              <c:idx val="3"/>
              <c:delete val="1"/>
            </c:dLbl>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List1!$E$2</c:f>
              <c:numCache>
                <c:formatCode>0.0%</c:formatCode>
                <c:ptCount val="1"/>
                <c:pt idx="0">
                  <c:v>0.64400000000000002</c:v>
                </c:pt>
              </c:numCache>
            </c:numRef>
          </c:val>
        </c:ser>
        <c:dLbls>
          <c:showLegendKey val="0"/>
          <c:showVal val="1"/>
          <c:showCatName val="0"/>
          <c:showSerName val="0"/>
          <c:showPercent val="0"/>
          <c:showBubbleSize val="0"/>
        </c:dLbls>
        <c:gapWidth val="111"/>
        <c:overlap val="100"/>
        <c:axId val="45652992"/>
        <c:axId val="45654784"/>
      </c:barChart>
      <c:catAx>
        <c:axId val="45652992"/>
        <c:scaling>
          <c:orientation val="minMax"/>
        </c:scaling>
        <c:delete val="1"/>
        <c:axPos val="l"/>
        <c:numFmt formatCode="General" sourceLinked="1"/>
        <c:majorTickMark val="out"/>
        <c:minorTickMark val="none"/>
        <c:tickLblPos val="nextTo"/>
        <c:crossAx val="45654784"/>
        <c:crosses val="autoZero"/>
        <c:auto val="1"/>
        <c:lblAlgn val="ctr"/>
        <c:lblOffset val="100"/>
        <c:noMultiLvlLbl val="0"/>
      </c:catAx>
      <c:valAx>
        <c:axId val="45654784"/>
        <c:scaling>
          <c:orientation val="minMax"/>
        </c:scaling>
        <c:delete val="0"/>
        <c:axPos val="b"/>
        <c:majorGridlines/>
        <c:numFmt formatCode="0%" sourceLinked="1"/>
        <c:majorTickMark val="out"/>
        <c:minorTickMark val="none"/>
        <c:tickLblPos val="nextTo"/>
        <c:txPr>
          <a:bodyPr/>
          <a:lstStyle/>
          <a:p>
            <a:pPr>
              <a:defRPr sz="800" b="0"/>
            </a:pPr>
            <a:endParaRPr lang="cs-CZ"/>
          </a:p>
        </c:txPr>
        <c:crossAx val="45652992"/>
        <c:crosses val="autoZero"/>
        <c:crossBetween val="between"/>
      </c:valAx>
    </c:plotArea>
    <c:legend>
      <c:legendPos val="b"/>
      <c:layout>
        <c:manualLayout>
          <c:xMode val="edge"/>
          <c:yMode val="edge"/>
          <c:x val="4.4139526102471155E-3"/>
          <c:y val="0.59452531098327199"/>
          <c:w val="0.99337828134698003"/>
          <c:h val="0.29262839948813135"/>
        </c:manualLayout>
      </c:layout>
      <c:overlay val="0"/>
      <c:txPr>
        <a:bodyPr/>
        <a:lstStyle/>
        <a:p>
          <a:pPr>
            <a:defRPr sz="900"/>
          </a:pPr>
          <a:endParaRPr lang="cs-CZ"/>
        </a:p>
      </c:txPr>
    </c:legend>
    <c:plotVisOnly val="1"/>
    <c:dispBlanksAs val="gap"/>
    <c:showDLblsOverMax val="0"/>
  </c:chart>
  <c:spPr>
    <a:ln>
      <a:solidFill>
        <a:schemeClr val="tx1"/>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a:t>Služb</a:t>
            </a:r>
            <a:r>
              <a:rPr lang="cs-CZ" sz="1100" baseline="0"/>
              <a:t>y využívané respondentem nebo jeho rodinným příslušníkem</a:t>
            </a:r>
            <a:endParaRPr lang="en-US" sz="1100"/>
          </a:p>
        </c:rich>
      </c:tx>
      <c:overlay val="0"/>
    </c:title>
    <c:autoTitleDeleted val="0"/>
    <c:plotArea>
      <c:layout>
        <c:manualLayout>
          <c:layoutTarget val="inner"/>
          <c:xMode val="edge"/>
          <c:yMode val="edge"/>
          <c:x val="0.53168931445896128"/>
          <c:y val="8.8511553110175931E-2"/>
          <c:w val="0.42525644531123902"/>
          <c:h val="0.79888269679586454"/>
        </c:manualLayout>
      </c:layout>
      <c:barChart>
        <c:barDir val="bar"/>
        <c:grouping val="clustered"/>
        <c:varyColors val="0"/>
        <c:ser>
          <c:idx val="0"/>
          <c:order val="0"/>
          <c:tx>
            <c:strRef>
              <c:f>List1!$B$1</c:f>
              <c:strCache>
                <c:ptCount val="1"/>
                <c:pt idx="0">
                  <c:v>Využívaná služba</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List1!$A$2:$A$13</c:f>
              <c:strCache>
                <c:ptCount val="12"/>
                <c:pt idx="0">
                  <c:v>Hospicové hnutí – Vysočina, o.s.</c:v>
                </c:pt>
                <c:pt idx="1">
                  <c:v>ZO Neslyšících a nedoslýchavých Velké Meziříčí</c:v>
                </c:pt>
                <c:pt idx="2">
                  <c:v>Sociálně aktivizační služby pro rodiny s dětmi Žďár nad Sázavou</c:v>
                </c:pt>
                <c:pt idx="3">
                  <c:v>Občanská poradna Žďár nad Sázavou</c:v>
                </c:pt>
                <c:pt idx="4">
                  <c:v>Ústav sociální péče Křižanov, příspěvková organizace</c:v>
                </c:pt>
                <c:pt idx="5">
                  <c:v>Domácí hospicová péče Oblastní charita Žďár nad Sázavou</c:v>
                </c:pt>
                <c:pt idx="6">
                  <c:v>Osobní asistence Velké Meziříčí</c:v>
                </c:pt>
                <c:pt idx="7">
                  <c:v>Domov pro seniory Velké Meziříčí, p.o.</c:v>
                </c:pt>
                <c:pt idx="8">
                  <c:v>Charitní ošetřovatelská služba Žďár nad Sázavou</c:v>
                </c:pt>
                <c:pt idx="9">
                  <c:v>Sociální služby města Velké Meziříčí: Pečovatelská služba</c:v>
                </c:pt>
                <c:pt idx="10">
                  <c:v>Sociální služby města Velké Meziříčí: Dům s pečovatelskou službou (ulice Strmá)</c:v>
                </c:pt>
                <c:pt idx="11">
                  <c:v>Sociální služby města Velké Meziříčí: Dům s pečovatelskou službou (ulice Zdenky Vorlové)</c:v>
                </c:pt>
              </c:strCache>
            </c:strRef>
          </c:cat>
          <c:val>
            <c:numRef>
              <c:f>List1!$B$2:$B$13</c:f>
              <c:numCache>
                <c:formatCode>0.0%</c:formatCode>
                <c:ptCount val="12"/>
                <c:pt idx="0">
                  <c:v>0</c:v>
                </c:pt>
                <c:pt idx="1">
                  <c:v>0</c:v>
                </c:pt>
                <c:pt idx="2">
                  <c:v>0</c:v>
                </c:pt>
                <c:pt idx="3">
                  <c:v>7.0000000000000001E-3</c:v>
                </c:pt>
                <c:pt idx="4">
                  <c:v>2.1000000000000001E-2</c:v>
                </c:pt>
                <c:pt idx="5">
                  <c:v>2.8000000000000001E-2</c:v>
                </c:pt>
                <c:pt idx="6">
                  <c:v>6.3E-2</c:v>
                </c:pt>
                <c:pt idx="7">
                  <c:v>0.12</c:v>
                </c:pt>
                <c:pt idx="8">
                  <c:v>0.12</c:v>
                </c:pt>
                <c:pt idx="9">
                  <c:v>0.183</c:v>
                </c:pt>
                <c:pt idx="10">
                  <c:v>0.19700000000000001</c:v>
                </c:pt>
                <c:pt idx="11">
                  <c:v>0.26100000000000001</c:v>
                </c:pt>
              </c:numCache>
            </c:numRef>
          </c:val>
        </c:ser>
        <c:dLbls>
          <c:showLegendKey val="0"/>
          <c:showVal val="1"/>
          <c:showCatName val="0"/>
          <c:showSerName val="0"/>
          <c:showPercent val="0"/>
          <c:showBubbleSize val="0"/>
        </c:dLbls>
        <c:gapWidth val="85"/>
        <c:axId val="45676032"/>
        <c:axId val="46342528"/>
      </c:barChart>
      <c:catAx>
        <c:axId val="45676032"/>
        <c:scaling>
          <c:orientation val="minMax"/>
        </c:scaling>
        <c:delete val="0"/>
        <c:axPos val="l"/>
        <c:numFmt formatCode="General" sourceLinked="1"/>
        <c:majorTickMark val="out"/>
        <c:minorTickMark val="none"/>
        <c:tickLblPos val="nextTo"/>
        <c:txPr>
          <a:bodyPr/>
          <a:lstStyle/>
          <a:p>
            <a:pPr>
              <a:defRPr sz="900"/>
            </a:pPr>
            <a:endParaRPr lang="cs-CZ"/>
          </a:p>
        </c:txPr>
        <c:crossAx val="46342528"/>
        <c:crosses val="autoZero"/>
        <c:auto val="1"/>
        <c:lblAlgn val="ctr"/>
        <c:lblOffset val="100"/>
        <c:noMultiLvlLbl val="0"/>
      </c:catAx>
      <c:valAx>
        <c:axId val="46342528"/>
        <c:scaling>
          <c:orientation val="minMax"/>
        </c:scaling>
        <c:delete val="0"/>
        <c:axPos val="b"/>
        <c:majorGridlines/>
        <c:numFmt formatCode="0%" sourceLinked="0"/>
        <c:majorTickMark val="out"/>
        <c:minorTickMark val="none"/>
        <c:tickLblPos val="nextTo"/>
        <c:crossAx val="45676032"/>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a:t>Jak jste se o službě, kterou využíváte, dozvěděl(a)?</a:t>
            </a:r>
            <a:endParaRPr lang="en-US" sz="1100"/>
          </a:p>
        </c:rich>
      </c:tx>
      <c:overlay val="0"/>
    </c:title>
    <c:autoTitleDeleted val="0"/>
    <c:plotArea>
      <c:layout>
        <c:manualLayout>
          <c:layoutTarget val="inner"/>
          <c:xMode val="edge"/>
          <c:yMode val="edge"/>
          <c:x val="0.47185692980342347"/>
          <c:y val="7.5492910823087719E-2"/>
          <c:w val="0.48509573145462082"/>
          <c:h val="0.80448081300842178"/>
        </c:manualLayout>
      </c:layout>
      <c:barChart>
        <c:barDir val="bar"/>
        <c:grouping val="clustered"/>
        <c:varyColors val="0"/>
        <c:ser>
          <c:idx val="0"/>
          <c:order val="0"/>
          <c:tx>
            <c:strRef>
              <c:f>List1!$B$1</c:f>
              <c:strCache>
                <c:ptCount val="1"/>
                <c:pt idx="0">
                  <c:v>Jak jste se o službě, kterou využíváte, dozvěděl(a)?</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List1!$A$2:$A$12</c:f>
              <c:strCache>
                <c:ptCount val="11"/>
                <c:pt idx="0">
                  <c:v>Jinak</c:v>
                </c:pt>
                <c:pt idx="1">
                  <c:v>Nevím</c:v>
                </c:pt>
                <c:pt idx="2">
                  <c:v>Z televizního nebo rozhlasového vysílání</c:v>
                </c:pt>
                <c:pt idx="3">
                  <c:v>Našel/našla jsem ji na internetu</c:v>
                </c:pt>
                <c:pt idx="4">
                  <c:v>Z týdeníku Velkomeziříčsko</c:v>
                </c:pt>
                <c:pt idx="5">
                  <c:v>Od člověka, který se s podobným problémem setkal. </c:v>
                </c:pt>
                <c:pt idx="6">
                  <c:v>Na MěÚ (Odbor sociálních věcí). </c:v>
                </c:pt>
                <c:pt idx="7">
                  <c:v>Od pracovníka/pracovnice organizace, o které vím, že podobné služby poskytuje</c:v>
                </c:pt>
                <c:pt idx="8">
                  <c:v>Od rodiny</c:v>
                </c:pt>
                <c:pt idx="9">
                  <c:v>Od lékaře</c:v>
                </c:pt>
                <c:pt idx="10">
                  <c:v>Od přátel, spolupracovníků, známých, apod. </c:v>
                </c:pt>
              </c:strCache>
            </c:strRef>
          </c:cat>
          <c:val>
            <c:numRef>
              <c:f>List1!$B$2:$B$12</c:f>
              <c:numCache>
                <c:formatCode>0.0%</c:formatCode>
                <c:ptCount val="11"/>
                <c:pt idx="0">
                  <c:v>4.7E-2</c:v>
                </c:pt>
                <c:pt idx="1">
                  <c:v>8.9999999999999993E-3</c:v>
                </c:pt>
                <c:pt idx="2">
                  <c:v>8.9999999999999993E-3</c:v>
                </c:pt>
                <c:pt idx="3">
                  <c:v>1.9E-2</c:v>
                </c:pt>
                <c:pt idx="4">
                  <c:v>6.6000000000000003E-2</c:v>
                </c:pt>
                <c:pt idx="5">
                  <c:v>0.123</c:v>
                </c:pt>
                <c:pt idx="6">
                  <c:v>0.123</c:v>
                </c:pt>
                <c:pt idx="7">
                  <c:v>0.16</c:v>
                </c:pt>
                <c:pt idx="8">
                  <c:v>0.217</c:v>
                </c:pt>
                <c:pt idx="9">
                  <c:v>0.23599999999999999</c:v>
                </c:pt>
                <c:pt idx="10">
                  <c:v>0.29199999999999998</c:v>
                </c:pt>
              </c:numCache>
            </c:numRef>
          </c:val>
        </c:ser>
        <c:dLbls>
          <c:showLegendKey val="0"/>
          <c:showVal val="1"/>
          <c:showCatName val="0"/>
          <c:showSerName val="0"/>
          <c:showPercent val="0"/>
          <c:showBubbleSize val="0"/>
        </c:dLbls>
        <c:gapWidth val="85"/>
        <c:axId val="46391296"/>
        <c:axId val="46393984"/>
      </c:barChart>
      <c:catAx>
        <c:axId val="46391296"/>
        <c:scaling>
          <c:orientation val="minMax"/>
        </c:scaling>
        <c:delete val="0"/>
        <c:axPos val="l"/>
        <c:numFmt formatCode="General" sourceLinked="1"/>
        <c:majorTickMark val="out"/>
        <c:minorTickMark val="none"/>
        <c:tickLblPos val="nextTo"/>
        <c:txPr>
          <a:bodyPr/>
          <a:lstStyle/>
          <a:p>
            <a:pPr>
              <a:defRPr sz="900"/>
            </a:pPr>
            <a:endParaRPr lang="cs-CZ"/>
          </a:p>
        </c:txPr>
        <c:crossAx val="46393984"/>
        <c:crosses val="autoZero"/>
        <c:auto val="1"/>
        <c:lblAlgn val="ctr"/>
        <c:lblOffset val="100"/>
        <c:noMultiLvlLbl val="0"/>
      </c:catAx>
      <c:valAx>
        <c:axId val="46393984"/>
        <c:scaling>
          <c:orientation val="minMax"/>
        </c:scaling>
        <c:delete val="0"/>
        <c:axPos val="b"/>
        <c:majorGridlines/>
        <c:numFmt formatCode="0%" sourceLinked="0"/>
        <c:majorTickMark val="out"/>
        <c:minorTickMark val="none"/>
        <c:tickLblPos val="nextTo"/>
        <c:crossAx val="46391296"/>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b="1" i="0" u="none" strike="noStrike" baseline="0">
                <a:effectLst/>
              </a:rPr>
              <a:t>Co podle Vás pociťují senioři jako největší problém ve svém životě?</a:t>
            </a:r>
            <a:endParaRPr lang="en-US" sz="1100"/>
          </a:p>
        </c:rich>
      </c:tx>
      <c:overlay val="0"/>
    </c:title>
    <c:autoTitleDeleted val="0"/>
    <c:plotArea>
      <c:layout>
        <c:manualLayout>
          <c:layoutTarget val="inner"/>
          <c:xMode val="edge"/>
          <c:yMode val="edge"/>
          <c:x val="0.49844971317643466"/>
          <c:y val="9.5424777785129797E-2"/>
          <c:w val="0.45850329500402115"/>
          <c:h val="0.80257088523990794"/>
        </c:manualLayout>
      </c:layout>
      <c:barChart>
        <c:barDir val="bar"/>
        <c:grouping val="clustered"/>
        <c:varyColors val="0"/>
        <c:ser>
          <c:idx val="0"/>
          <c:order val="0"/>
          <c:tx>
            <c:strRef>
              <c:f>List1!$B$1</c:f>
              <c:strCache>
                <c:ptCount val="1"/>
                <c:pt idx="0">
                  <c:v>Co podle Vás pociťují senioři jako největší problém ve svém životě?</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List1!$A$2:$A$16</c:f>
              <c:strCache>
                <c:ptCount val="15"/>
                <c:pt idx="0">
                  <c:v>Jiné.</c:v>
                </c:pt>
                <c:pt idx="1">
                  <c:v>Nevím.</c:v>
                </c:pt>
                <c:pt idx="2">
                  <c:v>Nedostatek informací o sociálních službách. </c:v>
                </c:pt>
                <c:pt idx="3">
                  <c:v>Nedostatek odborných lékařů. </c:v>
                </c:pt>
                <c:pt idx="4">
                  <c:v>Nedostatečné možnosti trávení volného času.</c:v>
                </c:pt>
                <c:pt idx="5">
                  <c:v>Ve Velkém Meziříčí schází odlehčovací služba pro seniory.</c:v>
                </c:pt>
                <c:pt idx="6">
                  <c:v>Dopravní obslužnost města.</c:v>
                </c:pt>
                <c:pt idx="7">
                  <c:v>Nedostatečná nabídka míst pro setkávání a kulturní vyžití.</c:v>
                </c:pt>
                <c:pt idx="8">
                  <c:v>Ztížená možnost získat místo v pobytovém zařízení (např. Domov pro seniory). </c:v>
                </c:pt>
                <c:pt idx="9">
                  <c:v>Nedostatek bezbariérových přístupů.</c:v>
                </c:pt>
                <c:pt idx="10">
                  <c:v>Běžné nákupy. </c:v>
                </c:pt>
                <c:pt idx="11">
                  <c:v>Ve Velkém Meziříčí schází denní stacionář pro seniory.</c:v>
                </c:pt>
                <c:pt idx="12">
                  <c:v>Pochůzky po úřadech, návštěvy u lékaře.</c:v>
                </c:pt>
                <c:pt idx="13">
                  <c:v>Nemožnost postarat se sám o sebe a závislost na jiné osobě. </c:v>
                </c:pt>
                <c:pt idx="14">
                  <c:v>Osamělost.</c:v>
                </c:pt>
              </c:strCache>
            </c:strRef>
          </c:cat>
          <c:val>
            <c:numRef>
              <c:f>List1!$B$2:$B$16</c:f>
              <c:numCache>
                <c:formatCode>0.0%</c:formatCode>
                <c:ptCount val="15"/>
                <c:pt idx="0">
                  <c:v>0.05</c:v>
                </c:pt>
                <c:pt idx="1">
                  <c:v>6.4000000000000001E-2</c:v>
                </c:pt>
                <c:pt idx="2">
                  <c:v>7.0999999999999994E-2</c:v>
                </c:pt>
                <c:pt idx="3">
                  <c:v>7.8E-2</c:v>
                </c:pt>
                <c:pt idx="4">
                  <c:v>0.106</c:v>
                </c:pt>
                <c:pt idx="5">
                  <c:v>0.14199999999999999</c:v>
                </c:pt>
                <c:pt idx="6">
                  <c:v>0.14199999999999999</c:v>
                </c:pt>
                <c:pt idx="7">
                  <c:v>0.16300000000000001</c:v>
                </c:pt>
                <c:pt idx="8">
                  <c:v>0.184</c:v>
                </c:pt>
                <c:pt idx="9">
                  <c:v>0.184</c:v>
                </c:pt>
                <c:pt idx="10">
                  <c:v>0.21299999999999999</c:v>
                </c:pt>
                <c:pt idx="11">
                  <c:v>0.22</c:v>
                </c:pt>
                <c:pt idx="12">
                  <c:v>0.40400000000000003</c:v>
                </c:pt>
                <c:pt idx="13">
                  <c:v>0.504</c:v>
                </c:pt>
                <c:pt idx="14">
                  <c:v>0.51800000000000002</c:v>
                </c:pt>
              </c:numCache>
            </c:numRef>
          </c:val>
        </c:ser>
        <c:dLbls>
          <c:showLegendKey val="0"/>
          <c:showVal val="1"/>
          <c:showCatName val="0"/>
          <c:showSerName val="0"/>
          <c:showPercent val="0"/>
          <c:showBubbleSize val="0"/>
        </c:dLbls>
        <c:gapWidth val="85"/>
        <c:axId val="48188032"/>
        <c:axId val="48207360"/>
      </c:barChart>
      <c:catAx>
        <c:axId val="48188032"/>
        <c:scaling>
          <c:orientation val="minMax"/>
        </c:scaling>
        <c:delete val="0"/>
        <c:axPos val="l"/>
        <c:numFmt formatCode="General" sourceLinked="1"/>
        <c:majorTickMark val="out"/>
        <c:minorTickMark val="none"/>
        <c:tickLblPos val="nextTo"/>
        <c:txPr>
          <a:bodyPr/>
          <a:lstStyle/>
          <a:p>
            <a:pPr>
              <a:defRPr sz="900"/>
            </a:pPr>
            <a:endParaRPr lang="cs-CZ"/>
          </a:p>
        </c:txPr>
        <c:crossAx val="48207360"/>
        <c:crosses val="autoZero"/>
        <c:auto val="1"/>
        <c:lblAlgn val="ctr"/>
        <c:lblOffset val="100"/>
        <c:noMultiLvlLbl val="0"/>
      </c:catAx>
      <c:valAx>
        <c:axId val="48207360"/>
        <c:scaling>
          <c:orientation val="minMax"/>
        </c:scaling>
        <c:delete val="0"/>
        <c:axPos val="b"/>
        <c:majorGridlines/>
        <c:numFmt formatCode="0%" sourceLinked="0"/>
        <c:majorTickMark val="out"/>
        <c:minorTickMark val="none"/>
        <c:tickLblPos val="nextTo"/>
        <c:crossAx val="48188032"/>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a:t>Stav obyvatel ve věku </a:t>
            </a:r>
            <a:r>
              <a:rPr lang="en-US"/>
              <a:t>0-14</a:t>
            </a:r>
            <a:r>
              <a:rPr lang="cs-CZ"/>
              <a:t> let</a:t>
            </a:r>
            <a:endParaRPr lang="en-US"/>
          </a:p>
        </c:rich>
      </c:tx>
      <c:overlay val="0"/>
    </c:title>
    <c:autoTitleDeleted val="0"/>
    <c:plotArea>
      <c:layout/>
      <c:barChart>
        <c:barDir val="col"/>
        <c:grouping val="clustered"/>
        <c:varyColors val="0"/>
        <c:ser>
          <c:idx val="0"/>
          <c:order val="0"/>
          <c:tx>
            <c:strRef>
              <c:f>'Stav obyvatel'!$A$57</c:f>
              <c:strCache>
                <c:ptCount val="1"/>
                <c:pt idx="0">
                  <c:v>0-14</c:v>
                </c:pt>
              </c:strCache>
            </c:strRef>
          </c:tx>
          <c:spPr>
            <a:solidFill>
              <a:srgbClr val="00B050"/>
            </a:solidFill>
          </c:spPr>
          <c:invertIfNegative val="0"/>
          <c:dLbls>
            <c:spPr>
              <a:solidFill>
                <a:sysClr val="window" lastClr="FFFFFF"/>
              </a:solidFill>
              <a:ln>
                <a:solidFill>
                  <a:sysClr val="windowText" lastClr="000000"/>
                </a:solidFill>
              </a:ln>
            </c:spPr>
            <c:showLegendKey val="0"/>
            <c:showVal val="1"/>
            <c:showCatName val="0"/>
            <c:showSerName val="0"/>
            <c:showPercent val="0"/>
            <c:showBubbleSize val="0"/>
            <c:showLeaderLines val="0"/>
          </c:dLbls>
          <c:cat>
            <c:numRef>
              <c:f>'Stav obyvatel'!$B$56:$K$56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'Stav obyvatel'!$B$57:$K$57</c:f>
              <c:numCache>
                <c:formatCode>#,##0_ ;\-#,##0\ </c:formatCode>
                <c:ptCount val="10"/>
                <c:pt idx="0">
                  <c:v>2012</c:v>
                </c:pt>
                <c:pt idx="1">
                  <c:v>1948</c:v>
                </c:pt>
                <c:pt idx="2">
                  <c:v>1896</c:v>
                </c:pt>
                <c:pt idx="3">
                  <c:v>1854</c:v>
                </c:pt>
                <c:pt idx="4">
                  <c:v>1822</c:v>
                </c:pt>
                <c:pt idx="5">
                  <c:v>1771</c:v>
                </c:pt>
                <c:pt idx="6">
                  <c:v>1744</c:v>
                </c:pt>
                <c:pt idx="7">
                  <c:v>1725</c:v>
                </c:pt>
                <c:pt idx="8">
                  <c:v>1731</c:v>
                </c:pt>
                <c:pt idx="9">
                  <c:v>1722</c:v>
                </c:pt>
              </c:numCache>
            </c:numRef>
          </c:val>
        </c:ser>
        <c:dLbls>
          <c:showLegendKey val="0"/>
          <c:showVal val="0"/>
          <c:showCatName val="0"/>
          <c:showSerName val="0"/>
          <c:showPercent val="0"/>
          <c:showBubbleSize val="0"/>
        </c:dLbls>
        <c:gapWidth val="150"/>
        <c:axId val="38948864"/>
        <c:axId val="38950400"/>
      </c:barChart>
      <c:catAx>
        <c:axId val="38948864"/>
        <c:scaling>
          <c:orientation val="minMax"/>
        </c:scaling>
        <c:delete val="0"/>
        <c:axPos val="b"/>
        <c:numFmt formatCode="General" sourceLinked="1"/>
        <c:majorTickMark val="out"/>
        <c:minorTickMark val="none"/>
        <c:tickLblPos val="nextTo"/>
        <c:txPr>
          <a:bodyPr/>
          <a:lstStyle/>
          <a:p>
            <a:pPr>
              <a:defRPr sz="1050"/>
            </a:pPr>
            <a:endParaRPr lang="cs-CZ"/>
          </a:p>
        </c:txPr>
        <c:crossAx val="38950400"/>
        <c:crosses val="autoZero"/>
        <c:auto val="1"/>
        <c:lblAlgn val="ctr"/>
        <c:lblOffset val="100"/>
        <c:noMultiLvlLbl val="0"/>
      </c:catAx>
      <c:valAx>
        <c:axId val="38950400"/>
        <c:scaling>
          <c:orientation val="minMax"/>
          <c:min val="1600"/>
        </c:scaling>
        <c:delete val="0"/>
        <c:axPos val="l"/>
        <c:majorGridlines/>
        <c:numFmt formatCode="#,##0_ ;\-#,##0\ " sourceLinked="1"/>
        <c:majorTickMark val="out"/>
        <c:minorTickMark val="none"/>
        <c:tickLblPos val="nextTo"/>
        <c:txPr>
          <a:bodyPr/>
          <a:lstStyle/>
          <a:p>
            <a:pPr>
              <a:defRPr sz="1050"/>
            </a:pPr>
            <a:endParaRPr lang="cs-CZ"/>
          </a:p>
        </c:txPr>
        <c:crossAx val="38948864"/>
        <c:crosses val="autoZero"/>
        <c:crossBetween val="between"/>
      </c:valAx>
    </c:plotArea>
    <c:plotVisOnly val="1"/>
    <c:dispBlanksAs val="gap"/>
    <c:showDLblsOverMax val="0"/>
  </c:chart>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b="1" i="0" u="none" strike="noStrike" baseline="0">
                <a:effectLst/>
              </a:rPr>
              <a:t>Jaké jsou podle Vás problémy s poskytováním informací o sociálních službách? </a:t>
            </a:r>
            <a:endParaRPr lang="en-US" sz="1100"/>
          </a:p>
        </c:rich>
      </c:tx>
      <c:overlay val="0"/>
    </c:title>
    <c:autoTitleDeleted val="0"/>
    <c:plotArea>
      <c:layout>
        <c:manualLayout>
          <c:layoutTarget val="inner"/>
          <c:xMode val="edge"/>
          <c:yMode val="edge"/>
          <c:x val="0.49844971317643466"/>
          <c:y val="0.16879625113232524"/>
          <c:w val="0.45850329500402115"/>
          <c:h val="0.64488358783345778"/>
        </c:manualLayout>
      </c:layout>
      <c:barChart>
        <c:barDir val="bar"/>
        <c:grouping val="clustered"/>
        <c:varyColors val="0"/>
        <c:ser>
          <c:idx val="0"/>
          <c:order val="0"/>
          <c:tx>
            <c:strRef>
              <c:f>List1!$B$1</c:f>
              <c:strCache>
                <c:ptCount val="1"/>
                <c:pt idx="0">
                  <c:v>Jaké jsou podle Vás problémy s poskytováním informací o sociálních službách? </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List1!$A$2:$A$11</c:f>
              <c:strCache>
                <c:ptCount val="10"/>
                <c:pt idx="0">
                  <c:v>Jiné.</c:v>
                </c:pt>
                <c:pt idx="1">
                  <c:v>Nevím.</c:v>
                </c:pt>
                <c:pt idx="2">
                  <c:v>Informace jsou roztříštěné (uvedeny na více místech).</c:v>
                </c:pt>
                <c:pt idx="3">
                  <c:v>Z některých oblastí informace zcela chybí.</c:v>
                </c:pt>
                <c:pt idx="4">
                  <c:v>Informace nejsou aktuální.</c:v>
                </c:pt>
                <c:pt idx="5">
                  <c:v>Informace jsou nepřehledné (nelze se v nich vyznat).</c:v>
                </c:pt>
                <c:pt idx="6">
                  <c:v>Informace jsou nesrozumitelné (moc odborných výrazů).</c:v>
                </c:pt>
                <c:pt idx="7">
                  <c:v>Informací je málo.</c:v>
                </c:pt>
                <c:pt idx="8">
                  <c:v>Informace se často nedostanou k těm, kteří je potřebují.</c:v>
                </c:pt>
                <c:pt idx="9">
                  <c:v>Není žádný problém s poskytováním informací.</c:v>
                </c:pt>
              </c:strCache>
            </c:strRef>
          </c:cat>
          <c:val>
            <c:numRef>
              <c:f>List1!$B$2:$B$11</c:f>
              <c:numCache>
                <c:formatCode>0.0%</c:formatCode>
                <c:ptCount val="10"/>
                <c:pt idx="0">
                  <c:v>1.4E-2</c:v>
                </c:pt>
                <c:pt idx="1">
                  <c:v>7.6999999999999999E-2</c:v>
                </c:pt>
                <c:pt idx="2">
                  <c:v>2.1000000000000001E-2</c:v>
                </c:pt>
                <c:pt idx="3">
                  <c:v>2.1000000000000001E-2</c:v>
                </c:pt>
                <c:pt idx="4">
                  <c:v>2.8000000000000001E-2</c:v>
                </c:pt>
                <c:pt idx="5">
                  <c:v>8.5000000000000006E-2</c:v>
                </c:pt>
                <c:pt idx="6">
                  <c:v>9.1999999999999998E-2</c:v>
                </c:pt>
                <c:pt idx="7">
                  <c:v>0.19700000000000001</c:v>
                </c:pt>
                <c:pt idx="8">
                  <c:v>0.32400000000000001</c:v>
                </c:pt>
                <c:pt idx="9">
                  <c:v>0.42299999999999999</c:v>
                </c:pt>
              </c:numCache>
            </c:numRef>
          </c:val>
        </c:ser>
        <c:dLbls>
          <c:showLegendKey val="0"/>
          <c:showVal val="1"/>
          <c:showCatName val="0"/>
          <c:showSerName val="0"/>
          <c:showPercent val="0"/>
          <c:showBubbleSize val="0"/>
        </c:dLbls>
        <c:gapWidth val="85"/>
        <c:axId val="82272256"/>
        <c:axId val="82274944"/>
      </c:barChart>
      <c:catAx>
        <c:axId val="82272256"/>
        <c:scaling>
          <c:orientation val="minMax"/>
        </c:scaling>
        <c:delete val="0"/>
        <c:axPos val="l"/>
        <c:numFmt formatCode="General" sourceLinked="1"/>
        <c:majorTickMark val="out"/>
        <c:minorTickMark val="none"/>
        <c:tickLblPos val="nextTo"/>
        <c:txPr>
          <a:bodyPr/>
          <a:lstStyle/>
          <a:p>
            <a:pPr>
              <a:defRPr sz="900"/>
            </a:pPr>
            <a:endParaRPr lang="cs-CZ"/>
          </a:p>
        </c:txPr>
        <c:crossAx val="82274944"/>
        <c:crosses val="autoZero"/>
        <c:auto val="1"/>
        <c:lblAlgn val="ctr"/>
        <c:lblOffset val="100"/>
        <c:noMultiLvlLbl val="0"/>
      </c:catAx>
      <c:valAx>
        <c:axId val="82274944"/>
        <c:scaling>
          <c:orientation val="minMax"/>
        </c:scaling>
        <c:delete val="0"/>
        <c:axPos val="b"/>
        <c:majorGridlines/>
        <c:numFmt formatCode="0%" sourceLinked="0"/>
        <c:majorTickMark val="out"/>
        <c:minorTickMark val="none"/>
        <c:tickLblPos val="nextTo"/>
        <c:crossAx val="82272256"/>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b="1" i="0" u="none" strike="noStrike" baseline="0">
                <a:effectLst/>
              </a:rPr>
              <a:t>Jaký způsob poskytování informací o sociálních službách a možnostech pomoci by Vám nejvíce vyhovoval? </a:t>
            </a:r>
            <a:endParaRPr lang="en-US" sz="1100"/>
          </a:p>
        </c:rich>
      </c:tx>
      <c:overlay val="0"/>
    </c:title>
    <c:autoTitleDeleted val="0"/>
    <c:plotArea>
      <c:layout>
        <c:manualLayout>
          <c:layoutTarget val="inner"/>
          <c:xMode val="edge"/>
          <c:yMode val="edge"/>
          <c:x val="0.50509843610268934"/>
          <c:y val="8.2890025761567232E-2"/>
          <c:w val="0.45186111410169588"/>
          <c:h val="0.83154876457900107"/>
        </c:manualLayout>
      </c:layout>
      <c:barChart>
        <c:barDir val="bar"/>
        <c:grouping val="clustered"/>
        <c:varyColors val="0"/>
        <c:ser>
          <c:idx val="0"/>
          <c:order val="0"/>
          <c:tx>
            <c:strRef>
              <c:f>List1!$B$1</c:f>
              <c:strCache>
                <c:ptCount val="1"/>
                <c:pt idx="0">
                  <c:v>Jaký způsob poskytování informací o sociálních službách a možnostech pomoci by Vám nejvíce vyhovoval?</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List1!$A$2:$A$11</c:f>
              <c:strCache>
                <c:ptCount val="10"/>
                <c:pt idx="0">
                  <c:v>Nevím.</c:v>
                </c:pt>
                <c:pt idx="1">
                  <c:v>Více informací na webové stránce MěÚ.</c:v>
                </c:pt>
                <c:pt idx="2">
                  <c:v>Akce poskytovatelů sociálních služeb, kde se potkávají senioři s dalšími spoluobčany, kteří nepotřebují pomoc sociálních služeb, a společně se baví, soutěží, vyměňují si zkušenosti apod.</c:v>
                </c:pt>
                <c:pt idx="3">
                  <c:v>Informační centrum speciálně zaměřené na sociální oblast</c:v>
                </c:pt>
                <c:pt idx="4">
                  <c:v>Více informací přímo u poskytovatelů sociálních služeb.</c:v>
                </c:pt>
                <c:pt idx="5">
                  <c:v>Katalog sociálních a dalších souvisejících služeb.</c:v>
                </c:pt>
                <c:pt idx="6">
                  <c:v>Informační letáčky s nabídkou sociálních služeb přímo do schránek.</c:v>
                </c:pt>
                <c:pt idx="7">
                  <c:v>Nic není třeba měnit, situace je dobrá.</c:v>
                </c:pt>
                <c:pt idx="8">
                  <c:v>Více informací v týdeníku Velkomeziříčsko (např. pravidelná rubrika).</c:v>
                </c:pt>
                <c:pt idx="9">
                  <c:v>Více informací od lékařů.</c:v>
                </c:pt>
              </c:strCache>
            </c:strRef>
          </c:cat>
          <c:val>
            <c:numRef>
              <c:f>List1!$B$2:$B$11</c:f>
              <c:numCache>
                <c:formatCode>0.0%</c:formatCode>
                <c:ptCount val="10"/>
                <c:pt idx="0">
                  <c:v>0.05</c:v>
                </c:pt>
                <c:pt idx="1">
                  <c:v>2.1000000000000001E-2</c:v>
                </c:pt>
                <c:pt idx="2">
                  <c:v>9.9000000000000005E-2</c:v>
                </c:pt>
                <c:pt idx="3">
                  <c:v>0.17699999999999999</c:v>
                </c:pt>
                <c:pt idx="4">
                  <c:v>0.191</c:v>
                </c:pt>
                <c:pt idx="5">
                  <c:v>0.20599999999999999</c:v>
                </c:pt>
                <c:pt idx="6">
                  <c:v>0.22700000000000001</c:v>
                </c:pt>
                <c:pt idx="7">
                  <c:v>0.27</c:v>
                </c:pt>
                <c:pt idx="8">
                  <c:v>0.27700000000000002</c:v>
                </c:pt>
                <c:pt idx="9">
                  <c:v>0.39</c:v>
                </c:pt>
              </c:numCache>
            </c:numRef>
          </c:val>
        </c:ser>
        <c:dLbls>
          <c:showLegendKey val="0"/>
          <c:showVal val="1"/>
          <c:showCatName val="0"/>
          <c:showSerName val="0"/>
          <c:showPercent val="0"/>
          <c:showBubbleSize val="0"/>
        </c:dLbls>
        <c:gapWidth val="85"/>
        <c:axId val="82303616"/>
        <c:axId val="82347520"/>
      </c:barChart>
      <c:catAx>
        <c:axId val="82303616"/>
        <c:scaling>
          <c:orientation val="minMax"/>
        </c:scaling>
        <c:delete val="0"/>
        <c:axPos val="l"/>
        <c:numFmt formatCode="General" sourceLinked="1"/>
        <c:majorTickMark val="out"/>
        <c:minorTickMark val="none"/>
        <c:tickLblPos val="nextTo"/>
        <c:txPr>
          <a:bodyPr/>
          <a:lstStyle/>
          <a:p>
            <a:pPr>
              <a:defRPr sz="900"/>
            </a:pPr>
            <a:endParaRPr lang="cs-CZ"/>
          </a:p>
        </c:txPr>
        <c:crossAx val="82347520"/>
        <c:crosses val="autoZero"/>
        <c:auto val="1"/>
        <c:lblAlgn val="ctr"/>
        <c:lblOffset val="100"/>
        <c:noMultiLvlLbl val="0"/>
      </c:catAx>
      <c:valAx>
        <c:axId val="82347520"/>
        <c:scaling>
          <c:orientation val="minMax"/>
        </c:scaling>
        <c:delete val="0"/>
        <c:axPos val="b"/>
        <c:majorGridlines/>
        <c:numFmt formatCode="0%" sourceLinked="0"/>
        <c:majorTickMark val="out"/>
        <c:minorTickMark val="none"/>
        <c:tickLblPos val="nextTo"/>
        <c:crossAx val="82303616"/>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b="1" i="0" u="none" strike="noStrike" baseline="0">
                <a:effectLst/>
              </a:rPr>
              <a:t>Jaké služby a pomoc pro seniory a jejich rodiny podle Vás ve Velkém Meziříčí případně chybí? </a:t>
            </a:r>
            <a:endParaRPr lang="en-US" sz="1100"/>
          </a:p>
        </c:rich>
      </c:tx>
      <c:overlay val="0"/>
    </c:title>
    <c:autoTitleDeleted val="0"/>
    <c:plotArea>
      <c:layout>
        <c:manualLayout>
          <c:layoutTarget val="inner"/>
          <c:xMode val="edge"/>
          <c:yMode val="edge"/>
          <c:x val="0.51839826178875448"/>
          <c:y val="0.13338144878201749"/>
          <c:w val="0.43856391912229808"/>
          <c:h val="0.73445477637896683"/>
        </c:manualLayout>
      </c:layout>
      <c:barChart>
        <c:barDir val="bar"/>
        <c:grouping val="clustered"/>
        <c:varyColors val="0"/>
        <c:ser>
          <c:idx val="0"/>
          <c:order val="0"/>
          <c:tx>
            <c:strRef>
              <c:f>List1!$B$1</c:f>
              <c:strCache>
                <c:ptCount val="1"/>
                <c:pt idx="0">
                  <c:v>Jaké služby a pomoc pro seniory a jejich rodiny podle Vás ve Velkém Meziříčí případně chybí?</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List1!$A$2:$A$8</c:f>
              <c:strCache>
                <c:ptCount val="7"/>
                <c:pt idx="0">
                  <c:v>Jiné.</c:v>
                </c:pt>
                <c:pt idx="1">
                  <c:v>Nevím.</c:v>
                </c:pt>
                <c:pt idx="2">
                  <c:v>Tísňová péče - okamžitá pomoc na zavolání telefonem nebo stisknutím tísňového tlačítka.</c:v>
                </c:pt>
                <c:pt idx="3">
                  <c:v>Krátkodobá přechodná péče (např. v případě úrazu).</c:v>
                </c:pt>
                <c:pt idx="4">
                  <c:v>Doprava na zavolání či objednání - „Senior taxi“. </c:v>
                </c:pt>
                <c:pt idx="5">
                  <c:v>Pobytová odlehčovací služba - pomoc při péči o blízkou osobu na přechodnou dobu s cílem poskytnout pečující osobě odpočinek.</c:v>
                </c:pt>
                <c:pt idx="6">
                  <c:v>Denní stacionář - zajištění péče o seniora v rámci pracovní doby pečujícího rodinného příslušníka.</c:v>
                </c:pt>
              </c:strCache>
            </c:strRef>
          </c:cat>
          <c:val>
            <c:numRef>
              <c:f>List1!$B$2:$B$8</c:f>
              <c:numCache>
                <c:formatCode>0.0%</c:formatCode>
                <c:ptCount val="7"/>
                <c:pt idx="0">
                  <c:v>1.4999999999999999E-2</c:v>
                </c:pt>
                <c:pt idx="1">
                  <c:v>0.24299999999999999</c:v>
                </c:pt>
                <c:pt idx="2">
                  <c:v>0.11799999999999999</c:v>
                </c:pt>
                <c:pt idx="3">
                  <c:v>0.25700000000000001</c:v>
                </c:pt>
                <c:pt idx="4">
                  <c:v>0.27200000000000002</c:v>
                </c:pt>
                <c:pt idx="5">
                  <c:v>0.28699999999999998</c:v>
                </c:pt>
                <c:pt idx="6">
                  <c:v>0.35299999999999998</c:v>
                </c:pt>
              </c:numCache>
            </c:numRef>
          </c:val>
        </c:ser>
        <c:dLbls>
          <c:showLegendKey val="0"/>
          <c:showVal val="1"/>
          <c:showCatName val="0"/>
          <c:showSerName val="0"/>
          <c:showPercent val="0"/>
          <c:showBubbleSize val="0"/>
        </c:dLbls>
        <c:gapWidth val="85"/>
        <c:axId val="93414144"/>
        <c:axId val="93416832"/>
      </c:barChart>
      <c:catAx>
        <c:axId val="93414144"/>
        <c:scaling>
          <c:orientation val="minMax"/>
        </c:scaling>
        <c:delete val="0"/>
        <c:axPos val="l"/>
        <c:numFmt formatCode="General" sourceLinked="1"/>
        <c:majorTickMark val="out"/>
        <c:minorTickMark val="none"/>
        <c:tickLblPos val="nextTo"/>
        <c:txPr>
          <a:bodyPr/>
          <a:lstStyle/>
          <a:p>
            <a:pPr>
              <a:defRPr sz="900"/>
            </a:pPr>
            <a:endParaRPr lang="cs-CZ"/>
          </a:p>
        </c:txPr>
        <c:crossAx val="93416832"/>
        <c:crosses val="autoZero"/>
        <c:auto val="1"/>
        <c:lblAlgn val="ctr"/>
        <c:lblOffset val="100"/>
        <c:noMultiLvlLbl val="0"/>
      </c:catAx>
      <c:valAx>
        <c:axId val="93416832"/>
        <c:scaling>
          <c:orientation val="minMax"/>
        </c:scaling>
        <c:delete val="0"/>
        <c:axPos val="b"/>
        <c:majorGridlines/>
        <c:numFmt formatCode="0%" sourceLinked="0"/>
        <c:majorTickMark val="out"/>
        <c:minorTickMark val="none"/>
        <c:tickLblPos val="nextTo"/>
        <c:crossAx val="93414144"/>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cs-CZ" sz="1000" b="1" i="0" u="none" strike="noStrike" baseline="0">
                <a:effectLst/>
              </a:rPr>
              <a:t>Jaký je Váš vztah k problematice života osob se zdravotním postižením?</a:t>
            </a:r>
            <a:endParaRPr lang="cs-CZ" sz="1000">
              <a:latin typeface="Arial" pitchFamily="34" charset="0"/>
              <a:cs typeface="Arial" pitchFamily="34" charset="0"/>
            </a:endParaRPr>
          </a:p>
        </c:rich>
      </c:tx>
      <c:overlay val="0"/>
    </c:title>
    <c:autoTitleDeleted val="0"/>
    <c:plotArea>
      <c:layout>
        <c:manualLayout>
          <c:layoutTarget val="inner"/>
          <c:xMode val="edge"/>
          <c:yMode val="edge"/>
          <c:x val="5.9815924790002598E-2"/>
          <c:y val="0.20876955534291744"/>
          <c:w val="0.58123167879359161"/>
          <c:h val="0.4549779794474843"/>
        </c:manualLayout>
      </c:layout>
      <c:barChart>
        <c:barDir val="bar"/>
        <c:grouping val="percentStacked"/>
        <c:varyColors val="0"/>
        <c:ser>
          <c:idx val="0"/>
          <c:order val="0"/>
          <c:tx>
            <c:strRef>
              <c:f>List1!$B$1</c:f>
              <c:strCache>
                <c:ptCount val="1"/>
                <c:pt idx="0">
                  <c:v>Sám(a) mám zdravotní postižení/handicap.</c:v>
                </c:pt>
              </c:strCache>
            </c:strRef>
          </c:tx>
          <c:spPr>
            <a:solidFill>
              <a:srgbClr val="960000"/>
            </a:solidFill>
            <a:ln>
              <a:solidFill>
                <a:schemeClr val="tx1"/>
              </a:solidFill>
            </a:ln>
          </c:spPr>
          <c:invertIfNegative val="0"/>
          <c:dLbls>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List1!$B$2</c:f>
              <c:numCache>
                <c:formatCode>0.0%</c:formatCode>
                <c:ptCount val="1"/>
                <c:pt idx="0">
                  <c:v>0.75</c:v>
                </c:pt>
              </c:numCache>
            </c:numRef>
          </c:val>
        </c:ser>
        <c:ser>
          <c:idx val="1"/>
          <c:order val="1"/>
          <c:tx>
            <c:strRef>
              <c:f>List1!$C$1</c:f>
              <c:strCache>
                <c:ptCount val="1"/>
                <c:pt idx="0">
                  <c:v>Pečuji o rodinného příslušníka nebo jinou blízkou osobu se zdravotním postižením.</c:v>
                </c:pt>
              </c:strCache>
            </c:strRef>
          </c:tx>
          <c:spPr>
            <a:solidFill>
              <a:srgbClr val="FFC000"/>
            </a:solidFill>
            <a:ln>
              <a:solidFill>
                <a:schemeClr val="tx1"/>
              </a:solidFill>
            </a:ln>
          </c:spPr>
          <c:invertIfNegative val="0"/>
          <c:dLbls>
            <c:dLbl>
              <c:idx val="0"/>
              <c:layout>
                <c:manualLayout>
                  <c:x val="-1.2159649246232033E-5"/>
                  <c:y val="0"/>
                </c:manualLayout>
              </c:layout>
              <c:showLegendKey val="0"/>
              <c:showVal val="1"/>
              <c:showCatName val="0"/>
              <c:showSerName val="0"/>
              <c:showPercent val="0"/>
              <c:showBubbleSize val="0"/>
            </c:dLbl>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List1!$C$2</c:f>
              <c:numCache>
                <c:formatCode>0.0%</c:formatCode>
                <c:ptCount val="1"/>
                <c:pt idx="0">
                  <c:v>0.184</c:v>
                </c:pt>
              </c:numCache>
            </c:numRef>
          </c:val>
        </c:ser>
        <c:ser>
          <c:idx val="2"/>
          <c:order val="2"/>
          <c:tx>
            <c:strRef>
              <c:f>List1!$D$1</c:f>
              <c:strCache>
                <c:ptCount val="1"/>
                <c:pt idx="0">
                  <c:v>Jiné</c:v>
                </c:pt>
              </c:strCache>
            </c:strRef>
          </c:tx>
          <c:spPr>
            <a:solidFill>
              <a:srgbClr val="00B050"/>
            </a:solidFill>
            <a:ln>
              <a:solidFill>
                <a:schemeClr val="tx1"/>
              </a:solidFill>
            </a:ln>
          </c:spPr>
          <c:invertIfNegative val="0"/>
          <c:dLbls>
            <c:dLbl>
              <c:idx val="0"/>
              <c:layout>
                <c:manualLayout>
                  <c:x val="-9.2065915721471131E-6"/>
                  <c:y val="0"/>
                </c:manualLayout>
              </c:layout>
              <c:showLegendKey val="0"/>
              <c:showVal val="1"/>
              <c:showCatName val="0"/>
              <c:showSerName val="0"/>
              <c:showPercent val="0"/>
              <c:showBubbleSize val="0"/>
            </c:dLbl>
            <c:dLbl>
              <c:idx val="1"/>
              <c:layout>
                <c:manualLayout>
                  <c:x val="-9.0395480225988704E-3"/>
                  <c:y val="-7.2750482331543374E-17"/>
                </c:manualLayout>
              </c:layout>
              <c:showLegendKey val="0"/>
              <c:showVal val="1"/>
              <c:showCatName val="0"/>
              <c:showSerName val="0"/>
              <c:showPercent val="0"/>
              <c:showBubbleSize val="0"/>
            </c:dLbl>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List1!$D$2</c:f>
              <c:numCache>
                <c:formatCode>0.0%</c:formatCode>
                <c:ptCount val="1"/>
                <c:pt idx="0">
                  <c:v>6.6000000000000003E-2</c:v>
                </c:pt>
              </c:numCache>
            </c:numRef>
          </c:val>
        </c:ser>
        <c:dLbls>
          <c:showLegendKey val="0"/>
          <c:showVal val="1"/>
          <c:showCatName val="0"/>
          <c:showSerName val="0"/>
          <c:showPercent val="0"/>
          <c:showBubbleSize val="0"/>
        </c:dLbls>
        <c:gapWidth val="111"/>
        <c:overlap val="100"/>
        <c:axId val="126065280"/>
        <c:axId val="126083456"/>
      </c:barChart>
      <c:catAx>
        <c:axId val="126065280"/>
        <c:scaling>
          <c:orientation val="minMax"/>
        </c:scaling>
        <c:delete val="1"/>
        <c:axPos val="l"/>
        <c:numFmt formatCode="General" sourceLinked="1"/>
        <c:majorTickMark val="out"/>
        <c:minorTickMark val="none"/>
        <c:tickLblPos val="nextTo"/>
        <c:crossAx val="126083456"/>
        <c:crosses val="autoZero"/>
        <c:auto val="1"/>
        <c:lblAlgn val="ctr"/>
        <c:lblOffset val="100"/>
        <c:noMultiLvlLbl val="0"/>
      </c:catAx>
      <c:valAx>
        <c:axId val="126083456"/>
        <c:scaling>
          <c:orientation val="minMax"/>
        </c:scaling>
        <c:delete val="0"/>
        <c:axPos val="b"/>
        <c:majorGridlines/>
        <c:numFmt formatCode="0%" sourceLinked="1"/>
        <c:majorTickMark val="out"/>
        <c:minorTickMark val="none"/>
        <c:tickLblPos val="nextTo"/>
        <c:txPr>
          <a:bodyPr/>
          <a:lstStyle/>
          <a:p>
            <a:pPr>
              <a:defRPr sz="900" b="0"/>
            </a:pPr>
            <a:endParaRPr lang="cs-CZ"/>
          </a:p>
        </c:txPr>
        <c:crossAx val="126065280"/>
        <c:crosses val="autoZero"/>
        <c:crossBetween val="between"/>
      </c:valAx>
    </c:plotArea>
    <c:legend>
      <c:legendPos val="r"/>
      <c:layout>
        <c:manualLayout>
          <c:xMode val="edge"/>
          <c:yMode val="edge"/>
          <c:x val="0.67014300928303427"/>
          <c:y val="0.19311457850856878"/>
          <c:w val="0.32323328026391229"/>
          <c:h val="0.80688576004270651"/>
        </c:manualLayout>
      </c:layout>
      <c:overlay val="0"/>
      <c:txPr>
        <a:bodyPr/>
        <a:lstStyle/>
        <a:p>
          <a:pPr algn="just">
            <a:defRPr sz="900"/>
          </a:pPr>
          <a:endParaRPr lang="cs-CZ"/>
        </a:p>
      </c:txPr>
    </c:legend>
    <c:plotVisOnly val="1"/>
    <c:dispBlanksAs val="gap"/>
    <c:showDLblsOverMax val="0"/>
  </c:chart>
  <c:spPr>
    <a:ln>
      <a:solidFill>
        <a:schemeClr val="tx1"/>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a:t>Služb</a:t>
            </a:r>
            <a:r>
              <a:rPr lang="cs-CZ" sz="1100" baseline="0"/>
              <a:t>y využívané respondentem nebo jeho rodinným příslušníkem</a:t>
            </a:r>
            <a:endParaRPr lang="en-US" sz="1100"/>
          </a:p>
        </c:rich>
      </c:tx>
      <c:overlay val="0"/>
    </c:title>
    <c:autoTitleDeleted val="0"/>
    <c:plotArea>
      <c:layout>
        <c:manualLayout>
          <c:layoutTarget val="inner"/>
          <c:xMode val="edge"/>
          <c:yMode val="edge"/>
          <c:x val="0.53168931445896128"/>
          <c:y val="8.8511553110175931E-2"/>
          <c:w val="0.42525644531123902"/>
          <c:h val="0.8216358514059463"/>
        </c:manualLayout>
      </c:layout>
      <c:barChart>
        <c:barDir val="bar"/>
        <c:grouping val="clustered"/>
        <c:varyColors val="0"/>
        <c:ser>
          <c:idx val="0"/>
          <c:order val="0"/>
          <c:tx>
            <c:strRef>
              <c:f>List1!$B$1</c:f>
              <c:strCache>
                <c:ptCount val="1"/>
                <c:pt idx="0">
                  <c:v>Využívaná služba</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List1!$A$2:$A$14</c:f>
              <c:strCache>
                <c:ptCount val="13"/>
                <c:pt idx="0">
                  <c:v>Jiná služba</c:v>
                </c:pt>
                <c:pt idx="1">
                  <c:v>Hospicové hnutí – Vysočina, o.s.</c:v>
                </c:pt>
                <c:pt idx="2">
                  <c:v>ZO Neslyšících a nedoslýchavých Velké Meziříčí</c:v>
                </c:pt>
                <c:pt idx="3">
                  <c:v>Domácí hospicová péče Oblastní charita Žďár nad Sázavou</c:v>
                </c:pt>
                <c:pt idx="4">
                  <c:v>Středisko rané péče Třebíč</c:v>
                </c:pt>
                <c:pt idx="5">
                  <c:v>Osobní asistence Velké Meziříčí</c:v>
                </c:pt>
                <c:pt idx="6">
                  <c:v>Charitní ošetřovatelská služba Žďár nad Sázavou</c:v>
                </c:pt>
                <c:pt idx="7">
                  <c:v>Ústav sociální péče Křižanov, příspěvková organizace</c:v>
                </c:pt>
                <c:pt idx="8">
                  <c:v>Liga vozíčkářů</c:v>
                </c:pt>
                <c:pt idx="9">
                  <c:v>Sociální služby města Velké Meziříčí: Pečovatelská služba</c:v>
                </c:pt>
                <c:pt idx="10">
                  <c:v>Centrum Kociánka</c:v>
                </c:pt>
                <c:pt idx="11">
                  <c:v>Sociální služby města Velké Meziříčí: Dům s pečovatelskou službou (ulice Strmá)</c:v>
                </c:pt>
                <c:pt idx="12">
                  <c:v>Sociální služby města Velké Meziříčí: Dům s pečovatelskou službou (ulice Zdenky Vorlové)</c:v>
                </c:pt>
              </c:strCache>
            </c:strRef>
          </c:cat>
          <c:val>
            <c:numRef>
              <c:f>List1!$B$2:$B$14</c:f>
              <c:numCache>
                <c:formatCode>0.0%</c:formatCode>
                <c:ptCount val="13"/>
                <c:pt idx="0">
                  <c:v>6.0999999999999999E-2</c:v>
                </c:pt>
                <c:pt idx="1">
                  <c:v>0</c:v>
                </c:pt>
                <c:pt idx="2">
                  <c:v>7.0000000000000001E-3</c:v>
                </c:pt>
                <c:pt idx="3">
                  <c:v>1.4E-2</c:v>
                </c:pt>
                <c:pt idx="4">
                  <c:v>1.4E-2</c:v>
                </c:pt>
                <c:pt idx="5">
                  <c:v>4.8000000000000001E-2</c:v>
                </c:pt>
                <c:pt idx="6">
                  <c:v>5.3999999999999999E-2</c:v>
                </c:pt>
                <c:pt idx="7">
                  <c:v>9.5000000000000001E-2</c:v>
                </c:pt>
                <c:pt idx="8">
                  <c:v>0.10199999999999999</c:v>
                </c:pt>
                <c:pt idx="9">
                  <c:v>0.109</c:v>
                </c:pt>
                <c:pt idx="10">
                  <c:v>0.13600000000000001</c:v>
                </c:pt>
                <c:pt idx="11">
                  <c:v>0.156</c:v>
                </c:pt>
                <c:pt idx="12">
                  <c:v>0.252</c:v>
                </c:pt>
              </c:numCache>
            </c:numRef>
          </c:val>
        </c:ser>
        <c:dLbls>
          <c:showLegendKey val="0"/>
          <c:showVal val="1"/>
          <c:showCatName val="0"/>
          <c:showSerName val="0"/>
          <c:showPercent val="0"/>
          <c:showBubbleSize val="0"/>
        </c:dLbls>
        <c:gapWidth val="85"/>
        <c:axId val="126103552"/>
        <c:axId val="126106240"/>
      </c:barChart>
      <c:catAx>
        <c:axId val="126103552"/>
        <c:scaling>
          <c:orientation val="minMax"/>
        </c:scaling>
        <c:delete val="0"/>
        <c:axPos val="l"/>
        <c:numFmt formatCode="General" sourceLinked="1"/>
        <c:majorTickMark val="out"/>
        <c:minorTickMark val="none"/>
        <c:tickLblPos val="nextTo"/>
        <c:txPr>
          <a:bodyPr/>
          <a:lstStyle/>
          <a:p>
            <a:pPr>
              <a:defRPr sz="800"/>
            </a:pPr>
            <a:endParaRPr lang="cs-CZ"/>
          </a:p>
        </c:txPr>
        <c:crossAx val="126106240"/>
        <c:crosses val="autoZero"/>
        <c:auto val="1"/>
        <c:lblAlgn val="ctr"/>
        <c:lblOffset val="100"/>
        <c:noMultiLvlLbl val="0"/>
      </c:catAx>
      <c:valAx>
        <c:axId val="126106240"/>
        <c:scaling>
          <c:orientation val="minMax"/>
        </c:scaling>
        <c:delete val="0"/>
        <c:axPos val="b"/>
        <c:majorGridlines/>
        <c:numFmt formatCode="0%" sourceLinked="0"/>
        <c:majorTickMark val="out"/>
        <c:minorTickMark val="none"/>
        <c:tickLblPos val="nextTo"/>
        <c:crossAx val="126103552"/>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a:t>Jak jste se o službě, kterou využíváte, dozvěděl(a)?</a:t>
            </a:r>
            <a:endParaRPr lang="en-US" sz="1100"/>
          </a:p>
        </c:rich>
      </c:tx>
      <c:overlay val="0"/>
    </c:title>
    <c:autoTitleDeleted val="0"/>
    <c:plotArea>
      <c:layout>
        <c:manualLayout>
          <c:layoutTarget val="inner"/>
          <c:xMode val="edge"/>
          <c:yMode val="edge"/>
          <c:x val="0.47185692980342347"/>
          <c:y val="7.5492910823087719E-2"/>
          <c:w val="0.48509573145462082"/>
          <c:h val="0.81045984440680685"/>
        </c:manualLayout>
      </c:layout>
      <c:barChart>
        <c:barDir val="bar"/>
        <c:grouping val="clustered"/>
        <c:varyColors val="0"/>
        <c:ser>
          <c:idx val="0"/>
          <c:order val="0"/>
          <c:tx>
            <c:strRef>
              <c:f>List1!$B$1</c:f>
              <c:strCache>
                <c:ptCount val="1"/>
                <c:pt idx="0">
                  <c:v>Jak jste se o službě, kterou využíváte, dozvěděl(a)?</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List1!$A$2:$A$13</c:f>
              <c:strCache>
                <c:ptCount val="12"/>
                <c:pt idx="0">
                  <c:v>Jinak</c:v>
                </c:pt>
                <c:pt idx="1">
                  <c:v>Nevím</c:v>
                </c:pt>
                <c:pt idx="2">
                  <c:v>Z televizního nebo rozhlasového vysílání</c:v>
                </c:pt>
                <c:pt idx="3">
                  <c:v>Z elektronického katalogu sociálních služeb na webové stránce MěÚ.</c:v>
                </c:pt>
                <c:pt idx="4">
                  <c:v>Našel/našla jsem ji na internetu</c:v>
                </c:pt>
                <c:pt idx="5">
                  <c:v>Z týdeníku Velkomeziříčsko</c:v>
                </c:pt>
                <c:pt idx="6">
                  <c:v>Na MěÚ (Odbor sociálních věcí). </c:v>
                </c:pt>
                <c:pt idx="7">
                  <c:v>Od člověka, který se s podobným problémem setkal. </c:v>
                </c:pt>
                <c:pt idx="8">
                  <c:v>Od lékaře</c:v>
                </c:pt>
                <c:pt idx="9">
                  <c:v>Od rodiny</c:v>
                </c:pt>
                <c:pt idx="10">
                  <c:v>Od pracovníka/pracovnice organizace, o které vím, že podobné služby poskytuje</c:v>
                </c:pt>
                <c:pt idx="11">
                  <c:v>Od přátel, spolupracovníků, známých, apod. </c:v>
                </c:pt>
              </c:strCache>
            </c:strRef>
          </c:cat>
          <c:val>
            <c:numRef>
              <c:f>List1!$B$2:$B$13</c:f>
              <c:numCache>
                <c:formatCode>0.0%</c:formatCode>
                <c:ptCount val="12"/>
                <c:pt idx="0">
                  <c:v>5.8999999999999997E-2</c:v>
                </c:pt>
                <c:pt idx="1">
                  <c:v>0.03</c:v>
                </c:pt>
                <c:pt idx="2">
                  <c:v>0</c:v>
                </c:pt>
                <c:pt idx="3">
                  <c:v>7.0000000000000001E-3</c:v>
                </c:pt>
                <c:pt idx="4">
                  <c:v>0.03</c:v>
                </c:pt>
                <c:pt idx="5">
                  <c:v>5.8999999999999997E-2</c:v>
                </c:pt>
                <c:pt idx="6">
                  <c:v>9.6000000000000002E-2</c:v>
                </c:pt>
                <c:pt idx="7">
                  <c:v>0.11899999999999999</c:v>
                </c:pt>
                <c:pt idx="8">
                  <c:v>0.17799999999999999</c:v>
                </c:pt>
                <c:pt idx="9">
                  <c:v>0.185</c:v>
                </c:pt>
                <c:pt idx="10">
                  <c:v>0.2</c:v>
                </c:pt>
                <c:pt idx="11">
                  <c:v>0.24399999999999999</c:v>
                </c:pt>
              </c:numCache>
            </c:numRef>
          </c:val>
        </c:ser>
        <c:dLbls>
          <c:showLegendKey val="0"/>
          <c:showVal val="1"/>
          <c:showCatName val="0"/>
          <c:showSerName val="0"/>
          <c:showPercent val="0"/>
          <c:showBubbleSize val="0"/>
        </c:dLbls>
        <c:gapWidth val="85"/>
        <c:axId val="126121856"/>
        <c:axId val="126178048"/>
      </c:barChart>
      <c:catAx>
        <c:axId val="126121856"/>
        <c:scaling>
          <c:orientation val="minMax"/>
        </c:scaling>
        <c:delete val="0"/>
        <c:axPos val="l"/>
        <c:numFmt formatCode="General" sourceLinked="1"/>
        <c:majorTickMark val="out"/>
        <c:minorTickMark val="none"/>
        <c:tickLblPos val="nextTo"/>
        <c:txPr>
          <a:bodyPr/>
          <a:lstStyle/>
          <a:p>
            <a:pPr>
              <a:defRPr sz="900"/>
            </a:pPr>
            <a:endParaRPr lang="cs-CZ"/>
          </a:p>
        </c:txPr>
        <c:crossAx val="126178048"/>
        <c:crosses val="autoZero"/>
        <c:auto val="1"/>
        <c:lblAlgn val="ctr"/>
        <c:lblOffset val="100"/>
        <c:noMultiLvlLbl val="0"/>
      </c:catAx>
      <c:valAx>
        <c:axId val="126178048"/>
        <c:scaling>
          <c:orientation val="minMax"/>
        </c:scaling>
        <c:delete val="0"/>
        <c:axPos val="b"/>
        <c:majorGridlines/>
        <c:numFmt formatCode="0%" sourceLinked="0"/>
        <c:majorTickMark val="out"/>
        <c:minorTickMark val="none"/>
        <c:tickLblPos val="nextTo"/>
        <c:crossAx val="126121856"/>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cs-CZ" sz="1000" b="1" i="0" u="none" strike="noStrike" baseline="0">
                <a:effectLst/>
              </a:rPr>
              <a:t>Máte dostatek aktuálních informací o sociálních službách a možnostech pomoci?</a:t>
            </a:r>
            <a:endParaRPr lang="cs-CZ" sz="1000">
              <a:latin typeface="Arial" pitchFamily="34" charset="0"/>
              <a:cs typeface="Arial" pitchFamily="34" charset="0"/>
            </a:endParaRPr>
          </a:p>
        </c:rich>
      </c:tx>
      <c:overlay val="0"/>
    </c:title>
    <c:autoTitleDeleted val="0"/>
    <c:plotArea>
      <c:layout>
        <c:manualLayout>
          <c:layoutTarget val="inner"/>
          <c:xMode val="edge"/>
          <c:yMode val="edge"/>
          <c:x val="5.3192388183054384E-2"/>
          <c:y val="0.25737359973954249"/>
          <c:w val="0.87487510469133634"/>
          <c:h val="0.30989994661237541"/>
        </c:manualLayout>
      </c:layout>
      <c:barChart>
        <c:barDir val="bar"/>
        <c:grouping val="percentStacked"/>
        <c:varyColors val="0"/>
        <c:ser>
          <c:idx val="0"/>
          <c:order val="0"/>
          <c:tx>
            <c:strRef>
              <c:f>List1!$B$1</c:f>
              <c:strCache>
                <c:ptCount val="1"/>
                <c:pt idx="0">
                  <c:v>Určitě ano</c:v>
                </c:pt>
              </c:strCache>
            </c:strRef>
          </c:tx>
          <c:spPr>
            <a:solidFill>
              <a:srgbClr val="960000"/>
            </a:solidFill>
            <a:ln>
              <a:solidFill>
                <a:schemeClr val="tx1"/>
              </a:solidFill>
            </a:ln>
          </c:spPr>
          <c:invertIfNegative val="0"/>
          <c:dLbls>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List1!$B$2</c:f>
              <c:numCache>
                <c:formatCode>0.0%</c:formatCode>
                <c:ptCount val="1"/>
                <c:pt idx="0">
                  <c:v>0.34300000000000003</c:v>
                </c:pt>
              </c:numCache>
            </c:numRef>
          </c:val>
        </c:ser>
        <c:ser>
          <c:idx val="1"/>
          <c:order val="1"/>
          <c:tx>
            <c:strRef>
              <c:f>List1!$C$1</c:f>
              <c:strCache>
                <c:ptCount val="1"/>
                <c:pt idx="0">
                  <c:v>Spíše ano</c:v>
                </c:pt>
              </c:strCache>
            </c:strRef>
          </c:tx>
          <c:spPr>
            <a:solidFill>
              <a:srgbClr val="FFC000"/>
            </a:solidFill>
            <a:ln>
              <a:solidFill>
                <a:schemeClr val="tx1"/>
              </a:solidFill>
            </a:ln>
          </c:spPr>
          <c:invertIfNegative val="0"/>
          <c:dLbls>
            <c:dLbl>
              <c:idx val="0"/>
              <c:layout>
                <c:manualLayout>
                  <c:x val="-1.2159649246232033E-5"/>
                  <c:y val="0"/>
                </c:manualLayout>
              </c:layout>
              <c:showLegendKey val="0"/>
              <c:showVal val="1"/>
              <c:showCatName val="0"/>
              <c:showSerName val="0"/>
              <c:showPercent val="0"/>
              <c:showBubbleSize val="0"/>
            </c:dLbl>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List1!$C$2</c:f>
              <c:numCache>
                <c:formatCode>0.0%</c:formatCode>
                <c:ptCount val="1"/>
                <c:pt idx="0">
                  <c:v>0.376</c:v>
                </c:pt>
              </c:numCache>
            </c:numRef>
          </c:val>
        </c:ser>
        <c:ser>
          <c:idx val="2"/>
          <c:order val="2"/>
          <c:tx>
            <c:strRef>
              <c:f>List1!$D$1</c:f>
              <c:strCache>
                <c:ptCount val="1"/>
                <c:pt idx="0">
                  <c:v>Spíše ne. </c:v>
                </c:pt>
              </c:strCache>
            </c:strRef>
          </c:tx>
          <c:spPr>
            <a:solidFill>
              <a:srgbClr val="00B050"/>
            </a:solidFill>
            <a:ln>
              <a:solidFill>
                <a:schemeClr val="tx1"/>
              </a:solidFill>
            </a:ln>
          </c:spPr>
          <c:invertIfNegative val="0"/>
          <c:dLbls>
            <c:dLbl>
              <c:idx val="0"/>
              <c:layout>
                <c:manualLayout>
                  <c:x val="-9.2065915721471131E-6"/>
                  <c:y val="0"/>
                </c:manualLayout>
              </c:layout>
              <c:showLegendKey val="0"/>
              <c:showVal val="1"/>
              <c:showCatName val="0"/>
              <c:showSerName val="0"/>
              <c:showPercent val="0"/>
              <c:showBubbleSize val="0"/>
            </c:dLbl>
            <c:dLbl>
              <c:idx val="1"/>
              <c:layout>
                <c:manualLayout>
                  <c:x val="-9.0395480225988704E-3"/>
                  <c:y val="-7.2750482331543374E-17"/>
                </c:manualLayout>
              </c:layout>
              <c:showLegendKey val="0"/>
              <c:showVal val="1"/>
              <c:showCatName val="0"/>
              <c:showSerName val="0"/>
              <c:showPercent val="0"/>
              <c:showBubbleSize val="0"/>
            </c:dLbl>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List1!$D$2</c:f>
              <c:numCache>
                <c:formatCode>0.0%</c:formatCode>
                <c:ptCount val="1"/>
                <c:pt idx="0">
                  <c:v>0.154</c:v>
                </c:pt>
              </c:numCache>
            </c:numRef>
          </c:val>
        </c:ser>
        <c:ser>
          <c:idx val="3"/>
          <c:order val="3"/>
          <c:tx>
            <c:strRef>
              <c:f>List1!$E$1</c:f>
              <c:strCache>
                <c:ptCount val="1"/>
                <c:pt idx="0">
                  <c:v>Určitě ne</c:v>
                </c:pt>
              </c:strCache>
            </c:strRef>
          </c:tx>
          <c:spPr>
            <a:solidFill>
              <a:srgbClr val="00B0F0"/>
            </a:solidFill>
            <a:ln>
              <a:solidFill>
                <a:schemeClr val="tx1"/>
              </a:solidFill>
            </a:ln>
          </c:spPr>
          <c:invertIfNegative val="0"/>
          <c:dPt>
            <c:idx val="0"/>
            <c:invertIfNegative val="0"/>
            <c:bubble3D val="0"/>
          </c:dPt>
          <c:dLbls>
            <c:dLbl>
              <c:idx val="1"/>
              <c:delete val="1"/>
            </c:dLbl>
            <c:dLbl>
              <c:idx val="3"/>
              <c:delete val="1"/>
            </c:dLbl>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List1!$E$2</c:f>
              <c:numCache>
                <c:formatCode>0.0%</c:formatCode>
                <c:ptCount val="1"/>
                <c:pt idx="0">
                  <c:v>2.1000000000000001E-2</c:v>
                </c:pt>
              </c:numCache>
            </c:numRef>
          </c:val>
        </c:ser>
        <c:ser>
          <c:idx val="4"/>
          <c:order val="4"/>
          <c:tx>
            <c:strRef>
              <c:f>List1!$F$1</c:f>
              <c:strCache>
                <c:ptCount val="1"/>
                <c:pt idx="0">
                  <c:v>Nevím</c:v>
                </c:pt>
              </c:strCache>
            </c:strRef>
          </c:tx>
          <c:spPr>
            <a:solidFill>
              <a:schemeClr val="accent6">
                <a:lumMod val="75000"/>
              </a:schemeClr>
            </a:solidFill>
            <a:ln>
              <a:solidFill>
                <a:schemeClr val="tx1"/>
              </a:solidFill>
            </a:ln>
          </c:spPr>
          <c:invertIfNegative val="0"/>
          <c:dLbls>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List1!$F$2</c:f>
              <c:numCache>
                <c:formatCode>0.0%</c:formatCode>
                <c:ptCount val="1"/>
                <c:pt idx="0">
                  <c:v>0.105</c:v>
                </c:pt>
              </c:numCache>
            </c:numRef>
          </c:val>
        </c:ser>
        <c:dLbls>
          <c:showLegendKey val="0"/>
          <c:showVal val="1"/>
          <c:showCatName val="0"/>
          <c:showSerName val="0"/>
          <c:showPercent val="0"/>
          <c:showBubbleSize val="0"/>
        </c:dLbls>
        <c:gapWidth val="111"/>
        <c:overlap val="100"/>
        <c:axId val="126216064"/>
        <c:axId val="126217600"/>
      </c:barChart>
      <c:catAx>
        <c:axId val="126216064"/>
        <c:scaling>
          <c:orientation val="minMax"/>
        </c:scaling>
        <c:delete val="1"/>
        <c:axPos val="l"/>
        <c:numFmt formatCode="General" sourceLinked="1"/>
        <c:majorTickMark val="out"/>
        <c:minorTickMark val="none"/>
        <c:tickLblPos val="nextTo"/>
        <c:crossAx val="126217600"/>
        <c:crosses val="autoZero"/>
        <c:auto val="1"/>
        <c:lblAlgn val="ctr"/>
        <c:lblOffset val="100"/>
        <c:noMultiLvlLbl val="0"/>
      </c:catAx>
      <c:valAx>
        <c:axId val="126217600"/>
        <c:scaling>
          <c:orientation val="minMax"/>
        </c:scaling>
        <c:delete val="0"/>
        <c:axPos val="b"/>
        <c:majorGridlines/>
        <c:numFmt formatCode="0%" sourceLinked="1"/>
        <c:majorTickMark val="out"/>
        <c:minorTickMark val="none"/>
        <c:tickLblPos val="nextTo"/>
        <c:txPr>
          <a:bodyPr/>
          <a:lstStyle/>
          <a:p>
            <a:pPr>
              <a:defRPr sz="800" b="0"/>
            </a:pPr>
            <a:endParaRPr lang="cs-CZ"/>
          </a:p>
        </c:txPr>
        <c:crossAx val="126216064"/>
        <c:crosses val="autoZero"/>
        <c:crossBetween val="between"/>
      </c:valAx>
    </c:plotArea>
    <c:legend>
      <c:legendPos val="b"/>
      <c:layout>
        <c:manualLayout>
          <c:xMode val="edge"/>
          <c:yMode val="edge"/>
          <c:x val="4.4139526102471155E-3"/>
          <c:y val="0.71708106739337518"/>
          <c:w val="0.99337828134698003"/>
          <c:h val="0.17316249910082393"/>
        </c:manualLayout>
      </c:layout>
      <c:overlay val="0"/>
      <c:txPr>
        <a:bodyPr/>
        <a:lstStyle/>
        <a:p>
          <a:pPr>
            <a:defRPr sz="900"/>
          </a:pPr>
          <a:endParaRPr lang="cs-CZ"/>
        </a:p>
      </c:txPr>
    </c:legend>
    <c:plotVisOnly val="1"/>
    <c:dispBlanksAs val="gap"/>
    <c:showDLblsOverMax val="0"/>
  </c:chart>
  <c:spPr>
    <a:ln>
      <a:solidFill>
        <a:schemeClr val="tx1"/>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b="1" i="0" u="none" strike="noStrike" baseline="0">
                <a:effectLst/>
              </a:rPr>
              <a:t>Jaké informace Vám chybí?</a:t>
            </a:r>
            <a:endParaRPr lang="en-US" sz="1100"/>
          </a:p>
        </c:rich>
      </c:tx>
      <c:overlay val="0"/>
    </c:title>
    <c:autoTitleDeleted val="0"/>
    <c:plotArea>
      <c:layout>
        <c:manualLayout>
          <c:layoutTarget val="inner"/>
          <c:xMode val="edge"/>
          <c:yMode val="edge"/>
          <c:x val="0.47185692980342347"/>
          <c:y val="9.3871986825024928E-2"/>
          <c:w val="0.48509573145462082"/>
          <c:h val="0.75611592936106287"/>
        </c:manualLayout>
      </c:layout>
      <c:barChart>
        <c:barDir val="bar"/>
        <c:grouping val="clustered"/>
        <c:varyColors val="0"/>
        <c:ser>
          <c:idx val="0"/>
          <c:order val="0"/>
          <c:tx>
            <c:strRef>
              <c:f>List1!$B$1</c:f>
              <c:strCache>
                <c:ptCount val="1"/>
                <c:pt idx="0">
                  <c:v>Jaké informace Vám chybí?</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List1!$A$2:$A$9</c:f>
              <c:strCache>
                <c:ptCount val="8"/>
                <c:pt idx="0">
                  <c:v>Informace o možnostech psychosociální podpory. </c:v>
                </c:pt>
                <c:pt idx="1">
                  <c:v>Informace o možnostech trávení volného času. </c:v>
                </c:pt>
                <c:pt idx="2">
                  <c:v>Jaké jsou možnosti léčby, pomoci. </c:v>
                </c:pt>
                <c:pt idx="3">
                  <c:v>Jaké mohu využít finanční možnosti, kde získat finanční podporu. </c:v>
                </c:pt>
                <c:pt idx="4">
                  <c:v>Úhrady pojišťoven za služby a pomůcky. </c:v>
                </c:pt>
                <c:pt idx="5">
                  <c:v>Informace o možnostech zaměstnání. </c:v>
                </c:pt>
                <c:pt idx="6">
                  <c:v>Jaké jsou dávky/příspěvky, o které lze žádat (na péči, na přestavbu bytu, na dopravu apod.).</c:v>
                </c:pt>
                <c:pt idx="7">
                  <c:v>Přehled služeb, které mohou pomoci v mé situaci. </c:v>
                </c:pt>
              </c:strCache>
            </c:strRef>
          </c:cat>
          <c:val>
            <c:numRef>
              <c:f>List1!$B$2:$B$9</c:f>
              <c:numCache>
                <c:formatCode>0.0%</c:formatCode>
                <c:ptCount val="8"/>
                <c:pt idx="0">
                  <c:v>0.16200000000000001</c:v>
                </c:pt>
                <c:pt idx="1">
                  <c:v>0.189</c:v>
                </c:pt>
                <c:pt idx="2">
                  <c:v>0.27</c:v>
                </c:pt>
                <c:pt idx="3">
                  <c:v>0.29699999999999999</c:v>
                </c:pt>
                <c:pt idx="4">
                  <c:v>0.32400000000000001</c:v>
                </c:pt>
                <c:pt idx="5">
                  <c:v>0.35099999999999998</c:v>
                </c:pt>
                <c:pt idx="6">
                  <c:v>0.432</c:v>
                </c:pt>
                <c:pt idx="7">
                  <c:v>0.56799999999999995</c:v>
                </c:pt>
              </c:numCache>
            </c:numRef>
          </c:val>
        </c:ser>
        <c:dLbls>
          <c:showLegendKey val="0"/>
          <c:showVal val="1"/>
          <c:showCatName val="0"/>
          <c:showSerName val="0"/>
          <c:showPercent val="0"/>
          <c:showBubbleSize val="0"/>
        </c:dLbls>
        <c:gapWidth val="85"/>
        <c:axId val="126250368"/>
        <c:axId val="138811648"/>
      </c:barChart>
      <c:catAx>
        <c:axId val="126250368"/>
        <c:scaling>
          <c:orientation val="minMax"/>
        </c:scaling>
        <c:delete val="0"/>
        <c:axPos val="l"/>
        <c:numFmt formatCode="General" sourceLinked="1"/>
        <c:majorTickMark val="out"/>
        <c:minorTickMark val="none"/>
        <c:tickLblPos val="nextTo"/>
        <c:txPr>
          <a:bodyPr/>
          <a:lstStyle/>
          <a:p>
            <a:pPr>
              <a:defRPr sz="900"/>
            </a:pPr>
            <a:endParaRPr lang="cs-CZ"/>
          </a:p>
        </c:txPr>
        <c:crossAx val="138811648"/>
        <c:crosses val="autoZero"/>
        <c:auto val="1"/>
        <c:lblAlgn val="ctr"/>
        <c:lblOffset val="100"/>
        <c:noMultiLvlLbl val="0"/>
      </c:catAx>
      <c:valAx>
        <c:axId val="138811648"/>
        <c:scaling>
          <c:orientation val="minMax"/>
        </c:scaling>
        <c:delete val="0"/>
        <c:axPos val="b"/>
        <c:majorGridlines/>
        <c:numFmt formatCode="0%" sourceLinked="0"/>
        <c:majorTickMark val="out"/>
        <c:minorTickMark val="none"/>
        <c:tickLblPos val="nextTo"/>
        <c:crossAx val="126250368"/>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b="1" i="0" u="none" strike="noStrike" baseline="0">
                <a:effectLst/>
              </a:rPr>
              <a:t>Co by pomohlo k lepší informovanosti o sociálních a souvisejících službách a možnostech pomoci? </a:t>
            </a:r>
            <a:endParaRPr lang="en-US" sz="1100"/>
          </a:p>
        </c:rich>
      </c:tx>
      <c:overlay val="0"/>
    </c:title>
    <c:autoTitleDeleted val="0"/>
    <c:plotArea>
      <c:layout>
        <c:manualLayout>
          <c:layoutTarget val="inner"/>
          <c:xMode val="edge"/>
          <c:yMode val="edge"/>
          <c:x val="0.50953004558640691"/>
          <c:y val="9.7638785344212206E-2"/>
          <c:w val="0.44742293117597104"/>
          <c:h val="0.80896478690192886"/>
        </c:manualLayout>
      </c:layout>
      <c:barChart>
        <c:barDir val="bar"/>
        <c:grouping val="clustered"/>
        <c:varyColors val="0"/>
        <c:ser>
          <c:idx val="0"/>
          <c:order val="0"/>
          <c:tx>
            <c:strRef>
              <c:f>List1!$B$1</c:f>
              <c:strCache>
                <c:ptCount val="1"/>
                <c:pt idx="0">
                  <c:v>Co by pomohlo k lepší informovanosti o sociálních a souvisejících službách a možnostech pomoci? </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List1!$A$2:$A$11</c:f>
              <c:strCache>
                <c:ptCount val="10"/>
                <c:pt idx="0">
                  <c:v>Jiné</c:v>
                </c:pt>
                <c:pt idx="1">
                  <c:v>Nevím</c:v>
                </c:pt>
                <c:pt idx="2">
                  <c:v>Více informací na webové stránce MěÚ.</c:v>
                </c:pt>
                <c:pt idx="3">
                  <c:v>Více informací přímo u poskytovatelů sociálních služeb. </c:v>
                </c:pt>
                <c:pt idx="4">
                  <c:v>Informační centrum speciálně zaměřené na sociální oblast - informace o poskytovatelích a sociálních službách, možnostech pomoci, sociálních dávkách apod.</c:v>
                </c:pt>
                <c:pt idx="5">
                  <c:v>Akce poskytovatelů sociálních služeb, kde se potkávají lidé se zdravotním postižením se zdravými spoluobčany a společně se baví, soutěží, vyměňují si zkušenosti apod.</c:v>
                </c:pt>
                <c:pt idx="6">
                  <c:v>Informační letáčky s nabídkou sociálních služeb přímo do schránky. </c:v>
                </c:pt>
                <c:pt idx="7">
                  <c:v>Více informací z týdeníku Velkomeziříčsko (např. pravidelná rubrika).</c:v>
                </c:pt>
                <c:pt idx="8">
                  <c:v>Více informací od lékařů. </c:v>
                </c:pt>
                <c:pt idx="9">
                  <c:v>Katalog sociálních a dalších souvisejících služeb.</c:v>
                </c:pt>
              </c:strCache>
            </c:strRef>
          </c:cat>
          <c:val>
            <c:numRef>
              <c:f>List1!$B$2:$B$11</c:f>
              <c:numCache>
                <c:formatCode>0.0%</c:formatCode>
                <c:ptCount val="10"/>
                <c:pt idx="0">
                  <c:v>7.0000000000000001E-3</c:v>
                </c:pt>
                <c:pt idx="1">
                  <c:v>8.8999999999999996E-2</c:v>
                </c:pt>
                <c:pt idx="2">
                  <c:v>0.14399999999999999</c:v>
                </c:pt>
                <c:pt idx="3">
                  <c:v>0.158</c:v>
                </c:pt>
                <c:pt idx="4">
                  <c:v>0.158</c:v>
                </c:pt>
                <c:pt idx="5">
                  <c:v>0.192</c:v>
                </c:pt>
                <c:pt idx="6">
                  <c:v>0.253</c:v>
                </c:pt>
                <c:pt idx="7">
                  <c:v>0.26700000000000002</c:v>
                </c:pt>
                <c:pt idx="8">
                  <c:v>0.27400000000000002</c:v>
                </c:pt>
                <c:pt idx="9">
                  <c:v>0.34699999999999998</c:v>
                </c:pt>
              </c:numCache>
            </c:numRef>
          </c:val>
        </c:ser>
        <c:dLbls>
          <c:showLegendKey val="0"/>
          <c:showVal val="1"/>
          <c:showCatName val="0"/>
          <c:showSerName val="0"/>
          <c:showPercent val="0"/>
          <c:showBubbleSize val="0"/>
        </c:dLbls>
        <c:gapWidth val="85"/>
        <c:axId val="138831744"/>
        <c:axId val="138842880"/>
      </c:barChart>
      <c:catAx>
        <c:axId val="138831744"/>
        <c:scaling>
          <c:orientation val="minMax"/>
        </c:scaling>
        <c:delete val="0"/>
        <c:axPos val="l"/>
        <c:numFmt formatCode="General" sourceLinked="1"/>
        <c:majorTickMark val="out"/>
        <c:minorTickMark val="none"/>
        <c:tickLblPos val="nextTo"/>
        <c:txPr>
          <a:bodyPr/>
          <a:lstStyle/>
          <a:p>
            <a:pPr>
              <a:defRPr sz="900"/>
            </a:pPr>
            <a:endParaRPr lang="cs-CZ"/>
          </a:p>
        </c:txPr>
        <c:crossAx val="138842880"/>
        <c:crosses val="autoZero"/>
        <c:auto val="1"/>
        <c:lblAlgn val="ctr"/>
        <c:lblOffset val="100"/>
        <c:noMultiLvlLbl val="0"/>
      </c:catAx>
      <c:valAx>
        <c:axId val="138842880"/>
        <c:scaling>
          <c:orientation val="minMax"/>
        </c:scaling>
        <c:delete val="0"/>
        <c:axPos val="b"/>
        <c:majorGridlines/>
        <c:numFmt formatCode="0%" sourceLinked="0"/>
        <c:majorTickMark val="out"/>
        <c:minorTickMark val="none"/>
        <c:tickLblPos val="nextTo"/>
        <c:crossAx val="138831744"/>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b="1" i="0" u="none" strike="noStrike" baseline="0">
                <a:effectLst/>
              </a:rPr>
              <a:t>Co podle Vás pociťují osoby se zdravotním postižením jako největší problém ve svém životě? </a:t>
            </a:r>
            <a:endParaRPr lang="en-US" sz="1100"/>
          </a:p>
        </c:rich>
      </c:tx>
      <c:overlay val="0"/>
    </c:title>
    <c:autoTitleDeleted val="0"/>
    <c:plotArea>
      <c:layout>
        <c:manualLayout>
          <c:layoutTarget val="inner"/>
          <c:xMode val="edge"/>
          <c:yMode val="edge"/>
          <c:x val="0.50953004558640691"/>
          <c:y val="6.1321239587816795E-2"/>
          <c:w val="0.44742293117597104"/>
          <c:h val="0.87702964782135351"/>
        </c:manualLayout>
      </c:layout>
      <c:barChart>
        <c:barDir val="bar"/>
        <c:grouping val="clustered"/>
        <c:varyColors val="0"/>
        <c:ser>
          <c:idx val="0"/>
          <c:order val="0"/>
          <c:tx>
            <c:strRef>
              <c:f>List1!$B$1</c:f>
              <c:strCache>
                <c:ptCount val="1"/>
                <c:pt idx="0">
                  <c:v>Co podle Vás pociťují osoby se zdravotním postižením jako největší problém ve svém životě?</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List1!$A$2:$A$17</c:f>
              <c:strCache>
                <c:ptCount val="16"/>
                <c:pt idx="0">
                  <c:v>Jiné</c:v>
                </c:pt>
                <c:pt idx="1">
                  <c:v>Nevím</c:v>
                </c:pt>
                <c:pt idx="2">
                  <c:v>Běžné nákupy. </c:v>
                </c:pt>
                <c:pt idx="3">
                  <c:v>Malá nabídka vzdělávání pro osoby s handicapem. </c:v>
                </c:pt>
                <c:pt idx="4">
                  <c:v>Nedostatečná nabídka míst pro setkávání a kulturní vyžití (restaurace, koncertní sály apod.). </c:v>
                </c:pt>
                <c:pt idx="5">
                  <c:v>Nedostatek parkovacích míst pro osoby se zdravotním postižením. </c:v>
                </c:pt>
                <c:pt idx="6">
                  <c:v>Nezodpovědné chování okolí (např. parkování na místech vyhrazených pro osoby se zdravotním postižením).</c:v>
                </c:pt>
                <c:pt idx="7">
                  <c:v>Navazování vztahů. </c:v>
                </c:pt>
                <c:pt idx="8">
                  <c:v>Možnosti trávení volného času. </c:v>
                </c:pt>
                <c:pt idx="9">
                  <c:v>Návštěvy u lékaře. </c:v>
                </c:pt>
                <c:pt idx="10">
                  <c:v>Nedostatek bezbariérových přístupů.</c:v>
                </c:pt>
                <c:pt idx="11">
                  <c:v>Potřeba samostatně si vyřídit osobní záležitosti na úřadech (tlumočení do znakové řeči, asistence či doprovod, v bankách nehlásí číslo klienta a přepážky apod.). </c:v>
                </c:pt>
                <c:pt idx="12">
                  <c:v>Omezené možnosti zaměstnání.</c:v>
                </c:pt>
                <c:pt idx="13">
                  <c:v>Nemožnost postarat se sám o sebe a závislost na jiné osobě.  </c:v>
                </c:pt>
                <c:pt idx="14">
                  <c:v>Omezení kontaktů s okolím, osamělost. </c:v>
                </c:pt>
                <c:pt idx="15">
                  <c:v>Samostatný pohyb po městě (např. chybí bezbariérové přechody, nastupování do MHD apod.).</c:v>
                </c:pt>
              </c:strCache>
            </c:strRef>
          </c:cat>
          <c:val>
            <c:numRef>
              <c:f>List1!$B$2:$B$17</c:f>
              <c:numCache>
                <c:formatCode>0.0%</c:formatCode>
                <c:ptCount val="16"/>
                <c:pt idx="0">
                  <c:v>2.7E-2</c:v>
                </c:pt>
                <c:pt idx="1">
                  <c:v>7.4999999999999997E-2</c:v>
                </c:pt>
                <c:pt idx="2">
                  <c:v>9.5000000000000001E-2</c:v>
                </c:pt>
                <c:pt idx="3">
                  <c:v>9.5000000000000001E-2</c:v>
                </c:pt>
                <c:pt idx="4">
                  <c:v>9.5000000000000001E-2</c:v>
                </c:pt>
                <c:pt idx="5">
                  <c:v>0.129</c:v>
                </c:pt>
                <c:pt idx="6">
                  <c:v>0.129</c:v>
                </c:pt>
                <c:pt idx="7">
                  <c:v>0.13600000000000001</c:v>
                </c:pt>
                <c:pt idx="8">
                  <c:v>0.15</c:v>
                </c:pt>
                <c:pt idx="9">
                  <c:v>0.19700000000000001</c:v>
                </c:pt>
                <c:pt idx="10">
                  <c:v>0.19700000000000001</c:v>
                </c:pt>
                <c:pt idx="11">
                  <c:v>0.21099999999999999</c:v>
                </c:pt>
                <c:pt idx="12">
                  <c:v>0.252</c:v>
                </c:pt>
                <c:pt idx="13">
                  <c:v>0.27900000000000003</c:v>
                </c:pt>
                <c:pt idx="14">
                  <c:v>0.28599999999999998</c:v>
                </c:pt>
                <c:pt idx="15">
                  <c:v>0.35399999999999998</c:v>
                </c:pt>
              </c:numCache>
            </c:numRef>
          </c:val>
        </c:ser>
        <c:dLbls>
          <c:showLegendKey val="0"/>
          <c:showVal val="1"/>
          <c:showCatName val="0"/>
          <c:showSerName val="0"/>
          <c:showPercent val="0"/>
          <c:showBubbleSize val="0"/>
        </c:dLbls>
        <c:gapWidth val="85"/>
        <c:axId val="146391808"/>
        <c:axId val="146394496"/>
      </c:barChart>
      <c:catAx>
        <c:axId val="146391808"/>
        <c:scaling>
          <c:orientation val="minMax"/>
        </c:scaling>
        <c:delete val="0"/>
        <c:axPos val="l"/>
        <c:numFmt formatCode="General" sourceLinked="1"/>
        <c:majorTickMark val="out"/>
        <c:minorTickMark val="none"/>
        <c:tickLblPos val="nextTo"/>
        <c:txPr>
          <a:bodyPr/>
          <a:lstStyle/>
          <a:p>
            <a:pPr>
              <a:defRPr sz="900"/>
            </a:pPr>
            <a:endParaRPr lang="cs-CZ"/>
          </a:p>
        </c:txPr>
        <c:crossAx val="146394496"/>
        <c:crosses val="autoZero"/>
        <c:auto val="1"/>
        <c:lblAlgn val="ctr"/>
        <c:lblOffset val="100"/>
        <c:noMultiLvlLbl val="0"/>
      </c:catAx>
      <c:valAx>
        <c:axId val="146394496"/>
        <c:scaling>
          <c:orientation val="minMax"/>
        </c:scaling>
        <c:delete val="0"/>
        <c:axPos val="b"/>
        <c:majorGridlines/>
        <c:numFmt formatCode="0%" sourceLinked="0"/>
        <c:majorTickMark val="out"/>
        <c:minorTickMark val="none"/>
        <c:tickLblPos val="nextTo"/>
        <c:crossAx val="146391808"/>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Stav obyvatel ve věku </a:t>
            </a:r>
            <a:r>
              <a:rPr lang="en-US"/>
              <a:t>65+</a:t>
            </a:r>
            <a:r>
              <a:rPr lang="cs-CZ"/>
              <a:t> (k 1. 7.)</a:t>
            </a:r>
            <a:endParaRPr lang="en-US"/>
          </a:p>
        </c:rich>
      </c:tx>
      <c:overlay val="0"/>
    </c:title>
    <c:autoTitleDeleted val="0"/>
    <c:plotArea>
      <c:layout/>
      <c:barChart>
        <c:barDir val="col"/>
        <c:grouping val="clustered"/>
        <c:varyColors val="0"/>
        <c:ser>
          <c:idx val="0"/>
          <c:order val="0"/>
          <c:tx>
            <c:strRef>
              <c:f>'Stav obyvatel'!$A$34</c:f>
              <c:strCache>
                <c:ptCount val="1"/>
                <c:pt idx="0">
                  <c:v>65+</c:v>
                </c:pt>
              </c:strCache>
            </c:strRef>
          </c:tx>
          <c:spPr>
            <a:solidFill>
              <a:srgbClr val="C00000"/>
            </a:solidFill>
          </c:spPr>
          <c:invertIfNegative val="0"/>
          <c:dLbls>
            <c:spPr>
              <a:solidFill>
                <a:sysClr val="window" lastClr="FFFFFF"/>
              </a:solidFill>
              <a:ln>
                <a:solidFill>
                  <a:schemeClr val="tx1"/>
                </a:solidFill>
              </a:ln>
            </c:spPr>
            <c:showLegendKey val="0"/>
            <c:showVal val="1"/>
            <c:showCatName val="0"/>
            <c:showSerName val="0"/>
            <c:showPercent val="0"/>
            <c:showBubbleSize val="0"/>
            <c:showLeaderLines val="0"/>
          </c:dLbls>
          <c:cat>
            <c:numRef>
              <c:f>'Stav obyvatel'!$B$33:$K$33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'Stav obyvatel'!$B$34:$K$34</c:f>
              <c:numCache>
                <c:formatCode>#,##0_ ;\-#,##0\ </c:formatCode>
                <c:ptCount val="10"/>
                <c:pt idx="0">
                  <c:v>1479</c:v>
                </c:pt>
                <c:pt idx="1">
                  <c:v>1494</c:v>
                </c:pt>
                <c:pt idx="2">
                  <c:v>1527</c:v>
                </c:pt>
                <c:pt idx="3">
                  <c:v>1549</c:v>
                </c:pt>
                <c:pt idx="4">
                  <c:v>1586</c:v>
                </c:pt>
                <c:pt idx="5">
                  <c:v>1643</c:v>
                </c:pt>
                <c:pt idx="6">
                  <c:v>1671</c:v>
                </c:pt>
                <c:pt idx="7">
                  <c:v>1704</c:v>
                </c:pt>
                <c:pt idx="8">
                  <c:v>1789</c:v>
                </c:pt>
                <c:pt idx="9">
                  <c:v>1878</c:v>
                </c:pt>
              </c:numCache>
            </c:numRef>
          </c:val>
        </c:ser>
        <c:dLbls>
          <c:showLegendKey val="0"/>
          <c:showVal val="0"/>
          <c:showCatName val="0"/>
          <c:showSerName val="0"/>
          <c:showPercent val="0"/>
          <c:showBubbleSize val="0"/>
        </c:dLbls>
        <c:gapWidth val="150"/>
        <c:axId val="39769984"/>
        <c:axId val="39771520"/>
      </c:barChart>
      <c:catAx>
        <c:axId val="39769984"/>
        <c:scaling>
          <c:orientation val="minMax"/>
        </c:scaling>
        <c:delete val="0"/>
        <c:axPos val="b"/>
        <c:numFmt formatCode="General" sourceLinked="1"/>
        <c:majorTickMark val="out"/>
        <c:minorTickMark val="none"/>
        <c:tickLblPos val="nextTo"/>
        <c:txPr>
          <a:bodyPr/>
          <a:lstStyle/>
          <a:p>
            <a:pPr>
              <a:defRPr sz="1100"/>
            </a:pPr>
            <a:endParaRPr lang="cs-CZ"/>
          </a:p>
        </c:txPr>
        <c:crossAx val="39771520"/>
        <c:crosses val="autoZero"/>
        <c:auto val="1"/>
        <c:lblAlgn val="ctr"/>
        <c:lblOffset val="100"/>
        <c:noMultiLvlLbl val="0"/>
      </c:catAx>
      <c:valAx>
        <c:axId val="39771520"/>
        <c:scaling>
          <c:orientation val="minMax"/>
          <c:min val="600"/>
        </c:scaling>
        <c:delete val="0"/>
        <c:axPos val="l"/>
        <c:majorGridlines/>
        <c:numFmt formatCode="#,##0_ ;\-#,##0\ " sourceLinked="1"/>
        <c:majorTickMark val="out"/>
        <c:minorTickMark val="none"/>
        <c:tickLblPos val="nextTo"/>
        <c:txPr>
          <a:bodyPr/>
          <a:lstStyle/>
          <a:p>
            <a:pPr>
              <a:defRPr sz="1100"/>
            </a:pPr>
            <a:endParaRPr lang="cs-CZ"/>
          </a:p>
        </c:txPr>
        <c:crossAx val="39769984"/>
        <c:crosses val="autoZero"/>
        <c:crossBetween val="between"/>
      </c:valAx>
    </c:plotArea>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cs-CZ" sz="1000" b="1" i="0" u="none" strike="noStrike" baseline="0">
                <a:effectLst/>
              </a:rPr>
              <a:t>Uvítal(a) byste pomoc či asistenci proškolených a zacvičených dobrovolníků?</a:t>
            </a:r>
            <a:endParaRPr lang="cs-CZ" sz="1000">
              <a:latin typeface="Arial" pitchFamily="34" charset="0"/>
              <a:cs typeface="Arial" pitchFamily="34" charset="0"/>
            </a:endParaRPr>
          </a:p>
        </c:rich>
      </c:tx>
      <c:overlay val="0"/>
    </c:title>
    <c:autoTitleDeleted val="0"/>
    <c:plotArea>
      <c:layout>
        <c:manualLayout>
          <c:layoutTarget val="inner"/>
          <c:xMode val="edge"/>
          <c:yMode val="edge"/>
          <c:x val="5.3192388183054384E-2"/>
          <c:y val="0.25737359973954249"/>
          <c:w val="0.87487510469133634"/>
          <c:h val="0.30989994661237541"/>
        </c:manualLayout>
      </c:layout>
      <c:barChart>
        <c:barDir val="bar"/>
        <c:grouping val="percentStacked"/>
        <c:varyColors val="0"/>
        <c:ser>
          <c:idx val="0"/>
          <c:order val="0"/>
          <c:tx>
            <c:strRef>
              <c:f>List1!$B$1</c:f>
              <c:strCache>
                <c:ptCount val="1"/>
                <c:pt idx="0">
                  <c:v>Ano</c:v>
                </c:pt>
              </c:strCache>
            </c:strRef>
          </c:tx>
          <c:spPr>
            <a:solidFill>
              <a:srgbClr val="960000"/>
            </a:solidFill>
            <a:ln>
              <a:solidFill>
                <a:schemeClr val="tx1"/>
              </a:solidFill>
            </a:ln>
          </c:spPr>
          <c:invertIfNegative val="0"/>
          <c:dLbls>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List1!$B$2</c:f>
              <c:numCache>
                <c:formatCode>0.0%</c:formatCode>
                <c:ptCount val="1"/>
                <c:pt idx="0">
                  <c:v>0.39100000000000001</c:v>
                </c:pt>
              </c:numCache>
            </c:numRef>
          </c:val>
        </c:ser>
        <c:ser>
          <c:idx val="1"/>
          <c:order val="1"/>
          <c:tx>
            <c:strRef>
              <c:f>List1!$C$1</c:f>
              <c:strCache>
                <c:ptCount val="1"/>
                <c:pt idx="0">
                  <c:v>Ne</c:v>
                </c:pt>
              </c:strCache>
            </c:strRef>
          </c:tx>
          <c:spPr>
            <a:solidFill>
              <a:srgbClr val="FFC000"/>
            </a:solidFill>
            <a:ln>
              <a:solidFill>
                <a:schemeClr val="tx1"/>
              </a:solidFill>
            </a:ln>
          </c:spPr>
          <c:invertIfNegative val="0"/>
          <c:dLbls>
            <c:dLbl>
              <c:idx val="0"/>
              <c:layout>
                <c:manualLayout>
                  <c:x val="-1.2159649246232033E-5"/>
                  <c:y val="0"/>
                </c:manualLayout>
              </c:layout>
              <c:showLegendKey val="0"/>
              <c:showVal val="1"/>
              <c:showCatName val="0"/>
              <c:showSerName val="0"/>
              <c:showPercent val="0"/>
              <c:showBubbleSize val="0"/>
            </c:dLbl>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List1!$C$2</c:f>
              <c:numCache>
                <c:formatCode>0.0%</c:formatCode>
                <c:ptCount val="1"/>
                <c:pt idx="0">
                  <c:v>0.245</c:v>
                </c:pt>
              </c:numCache>
            </c:numRef>
          </c:val>
        </c:ser>
        <c:ser>
          <c:idx val="2"/>
          <c:order val="2"/>
          <c:tx>
            <c:strRef>
              <c:f>List1!$D$1</c:f>
              <c:strCache>
                <c:ptCount val="1"/>
                <c:pt idx="0">
                  <c:v>Nevím</c:v>
                </c:pt>
              </c:strCache>
            </c:strRef>
          </c:tx>
          <c:spPr>
            <a:solidFill>
              <a:srgbClr val="00B050"/>
            </a:solidFill>
            <a:ln>
              <a:solidFill>
                <a:schemeClr val="tx1"/>
              </a:solidFill>
            </a:ln>
          </c:spPr>
          <c:invertIfNegative val="0"/>
          <c:dLbls>
            <c:dLbl>
              <c:idx val="0"/>
              <c:layout>
                <c:manualLayout>
                  <c:x val="-9.2065915721471131E-6"/>
                  <c:y val="0"/>
                </c:manualLayout>
              </c:layout>
              <c:showLegendKey val="0"/>
              <c:showVal val="1"/>
              <c:showCatName val="0"/>
              <c:showSerName val="0"/>
              <c:showPercent val="0"/>
              <c:showBubbleSize val="0"/>
            </c:dLbl>
            <c:dLbl>
              <c:idx val="1"/>
              <c:layout>
                <c:manualLayout>
                  <c:x val="-9.0395480225988704E-3"/>
                  <c:y val="-7.2750482331543374E-17"/>
                </c:manualLayout>
              </c:layout>
              <c:showLegendKey val="0"/>
              <c:showVal val="1"/>
              <c:showCatName val="0"/>
              <c:showSerName val="0"/>
              <c:showPercent val="0"/>
              <c:showBubbleSize val="0"/>
            </c:dLbl>
            <c:numFmt formatCode="0.0%" sourceLinked="0"/>
            <c:spPr>
              <a:solidFill>
                <a:schemeClr val="bg1"/>
              </a:solidFill>
              <a:ln>
                <a:solidFill>
                  <a:schemeClr val="tx1"/>
                </a:solidFill>
              </a:ln>
            </c:spPr>
            <c:txPr>
              <a:bodyPr/>
              <a:lstStyle/>
              <a:p>
                <a:pPr>
                  <a:defRPr sz="800"/>
                </a:pPr>
                <a:endParaRPr lang="cs-CZ"/>
              </a:p>
            </c:txPr>
            <c:showLegendKey val="0"/>
            <c:showVal val="1"/>
            <c:showCatName val="0"/>
            <c:showSerName val="0"/>
            <c:showPercent val="0"/>
            <c:showBubbleSize val="0"/>
            <c:showLeaderLines val="0"/>
          </c:dLbls>
          <c:cat>
            <c:numRef>
              <c:f>List1!$A$2</c:f>
              <c:numCache>
                <c:formatCode>General</c:formatCode>
                <c:ptCount val="1"/>
              </c:numCache>
            </c:numRef>
          </c:cat>
          <c:val>
            <c:numRef>
              <c:f>List1!$D$2</c:f>
              <c:numCache>
                <c:formatCode>0.0%</c:formatCode>
                <c:ptCount val="1"/>
                <c:pt idx="0">
                  <c:v>0.36399999999999999</c:v>
                </c:pt>
              </c:numCache>
            </c:numRef>
          </c:val>
        </c:ser>
        <c:dLbls>
          <c:showLegendKey val="0"/>
          <c:showVal val="1"/>
          <c:showCatName val="0"/>
          <c:showSerName val="0"/>
          <c:showPercent val="0"/>
          <c:showBubbleSize val="0"/>
        </c:dLbls>
        <c:gapWidth val="111"/>
        <c:overlap val="100"/>
        <c:axId val="146413824"/>
        <c:axId val="146427904"/>
      </c:barChart>
      <c:catAx>
        <c:axId val="146413824"/>
        <c:scaling>
          <c:orientation val="minMax"/>
        </c:scaling>
        <c:delete val="1"/>
        <c:axPos val="l"/>
        <c:numFmt formatCode="General" sourceLinked="1"/>
        <c:majorTickMark val="out"/>
        <c:minorTickMark val="none"/>
        <c:tickLblPos val="nextTo"/>
        <c:crossAx val="146427904"/>
        <c:crosses val="autoZero"/>
        <c:auto val="1"/>
        <c:lblAlgn val="ctr"/>
        <c:lblOffset val="100"/>
        <c:noMultiLvlLbl val="0"/>
      </c:catAx>
      <c:valAx>
        <c:axId val="146427904"/>
        <c:scaling>
          <c:orientation val="minMax"/>
        </c:scaling>
        <c:delete val="0"/>
        <c:axPos val="b"/>
        <c:majorGridlines/>
        <c:numFmt formatCode="0%" sourceLinked="1"/>
        <c:majorTickMark val="out"/>
        <c:minorTickMark val="none"/>
        <c:tickLblPos val="nextTo"/>
        <c:txPr>
          <a:bodyPr/>
          <a:lstStyle/>
          <a:p>
            <a:pPr>
              <a:defRPr sz="800" b="0"/>
            </a:pPr>
            <a:endParaRPr lang="cs-CZ"/>
          </a:p>
        </c:txPr>
        <c:crossAx val="146413824"/>
        <c:crosses val="autoZero"/>
        <c:crossBetween val="between"/>
      </c:valAx>
    </c:plotArea>
    <c:legend>
      <c:legendPos val="b"/>
      <c:layout>
        <c:manualLayout>
          <c:xMode val="edge"/>
          <c:yMode val="edge"/>
          <c:x val="4.4139526102471155E-3"/>
          <c:y val="0.71708106739337518"/>
          <c:w val="0.99337828134698003"/>
          <c:h val="0.17316249910082393"/>
        </c:manualLayout>
      </c:layout>
      <c:overlay val="0"/>
      <c:txPr>
        <a:bodyPr/>
        <a:lstStyle/>
        <a:p>
          <a:pPr>
            <a:defRPr sz="900"/>
          </a:pPr>
          <a:endParaRPr lang="cs-CZ"/>
        </a:p>
      </c:txPr>
    </c:legend>
    <c:plotVisOnly val="1"/>
    <c:dispBlanksAs val="gap"/>
    <c:showDLblsOverMax val="0"/>
  </c:chart>
  <c:spPr>
    <a:ln>
      <a:solidFill>
        <a:schemeClr val="tx1"/>
      </a:solid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b="1" i="0" u="none" strike="noStrike" baseline="0">
                <a:effectLst/>
              </a:rPr>
              <a:t>Jaké služby a pomoc pro osoby se zdravotním postižením a jejich rodiny podle Vás ve Velkém Meziříčí případně chybí? </a:t>
            </a:r>
            <a:endParaRPr lang="en-US" sz="1100"/>
          </a:p>
        </c:rich>
      </c:tx>
      <c:overlay val="0"/>
    </c:title>
    <c:autoTitleDeleted val="0"/>
    <c:plotArea>
      <c:layout>
        <c:manualLayout>
          <c:layoutTarget val="inner"/>
          <c:xMode val="edge"/>
          <c:yMode val="edge"/>
          <c:x val="0.50953004558640691"/>
          <c:y val="9.6906767057772486E-2"/>
          <c:w val="0.44742293117597104"/>
          <c:h val="0.80052977618287591"/>
        </c:manualLayout>
      </c:layout>
      <c:barChart>
        <c:barDir val="bar"/>
        <c:grouping val="clustered"/>
        <c:varyColors val="0"/>
        <c:ser>
          <c:idx val="0"/>
          <c:order val="0"/>
          <c:tx>
            <c:strRef>
              <c:f>List1!$B$1</c:f>
              <c:strCache>
                <c:ptCount val="1"/>
                <c:pt idx="0">
                  <c:v>Jaké služby a pomoc pro osoby se zdravotním postižením a jejich rodiny podle Vás ve Velkém Meziříčí případně chybí? </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List1!$A$2:$A$10</c:f>
              <c:strCache>
                <c:ptCount val="9"/>
                <c:pt idx="0">
                  <c:v>Jiné</c:v>
                </c:pt>
                <c:pt idx="1">
                  <c:v>Nevím</c:v>
                </c:pt>
                <c:pt idx="2">
                  <c:v>Tísňová péče - okamžitá pomoc na zavolání telefonem nebo stisknutím tísňového tlačítka.</c:v>
                </c:pt>
                <c:pt idx="3">
                  <c:v>Denní stacionář - zařízení pro krátkodobé pobyty se zajištěnou péčí.</c:v>
                </c:pt>
                <c:pt idx="4">
                  <c:v>Zvýhodněná doprava na zavolání či objednání - „Handicap taxi“. </c:v>
                </c:pt>
                <c:pt idx="5">
                  <c:v>Krátkodobá péče při nesoběstačnosti (po úrazu, v krizové situaci apod.). </c:v>
                </c:pt>
                <c:pt idx="6">
                  <c:v>Podporované bydlení - bydlení, které svými vlastnostmi a službami v něm poskytovanými pomáhá bydlet lidem se zvláštními potřebami </c:v>
                </c:pt>
                <c:pt idx="7">
                  <c:v>Respitní péče - pomoc při péči o blízkou osobu na přechodnou dobu s cílem poskytnout pečující osobě odpočinek.</c:v>
                </c:pt>
                <c:pt idx="8">
                  <c:v>Chráněné bydlení - pro osoby se zdravotním postižením, které nejsou zcela soběstačné.</c:v>
                </c:pt>
              </c:strCache>
            </c:strRef>
          </c:cat>
          <c:val>
            <c:numRef>
              <c:f>List1!$B$2:$B$10</c:f>
              <c:numCache>
                <c:formatCode>0.0%</c:formatCode>
                <c:ptCount val="9"/>
                <c:pt idx="0">
                  <c:v>2.8000000000000001E-2</c:v>
                </c:pt>
                <c:pt idx="1">
                  <c:v>0.27600000000000002</c:v>
                </c:pt>
                <c:pt idx="2">
                  <c:v>8.3000000000000004E-2</c:v>
                </c:pt>
                <c:pt idx="3">
                  <c:v>0.13800000000000001</c:v>
                </c:pt>
                <c:pt idx="4">
                  <c:v>0.152</c:v>
                </c:pt>
                <c:pt idx="5">
                  <c:v>0.17899999999999999</c:v>
                </c:pt>
                <c:pt idx="6">
                  <c:v>0.2</c:v>
                </c:pt>
                <c:pt idx="7">
                  <c:v>0.27600000000000002</c:v>
                </c:pt>
                <c:pt idx="8">
                  <c:v>0.28299999999999997</c:v>
                </c:pt>
              </c:numCache>
            </c:numRef>
          </c:val>
        </c:ser>
        <c:dLbls>
          <c:showLegendKey val="0"/>
          <c:showVal val="1"/>
          <c:showCatName val="0"/>
          <c:showSerName val="0"/>
          <c:showPercent val="0"/>
          <c:showBubbleSize val="0"/>
        </c:dLbls>
        <c:gapWidth val="85"/>
        <c:axId val="146465152"/>
        <c:axId val="146467840"/>
      </c:barChart>
      <c:catAx>
        <c:axId val="146465152"/>
        <c:scaling>
          <c:orientation val="minMax"/>
        </c:scaling>
        <c:delete val="0"/>
        <c:axPos val="l"/>
        <c:numFmt formatCode="General" sourceLinked="1"/>
        <c:majorTickMark val="out"/>
        <c:minorTickMark val="none"/>
        <c:tickLblPos val="nextTo"/>
        <c:txPr>
          <a:bodyPr/>
          <a:lstStyle/>
          <a:p>
            <a:pPr>
              <a:defRPr sz="900"/>
            </a:pPr>
            <a:endParaRPr lang="cs-CZ"/>
          </a:p>
        </c:txPr>
        <c:crossAx val="146467840"/>
        <c:crosses val="autoZero"/>
        <c:auto val="1"/>
        <c:lblAlgn val="ctr"/>
        <c:lblOffset val="100"/>
        <c:noMultiLvlLbl val="0"/>
      </c:catAx>
      <c:valAx>
        <c:axId val="146467840"/>
        <c:scaling>
          <c:orientation val="minMax"/>
        </c:scaling>
        <c:delete val="0"/>
        <c:axPos val="b"/>
        <c:majorGridlines/>
        <c:numFmt formatCode="0%" sourceLinked="0"/>
        <c:majorTickMark val="out"/>
        <c:minorTickMark val="none"/>
        <c:tickLblPos val="nextTo"/>
        <c:crossAx val="146465152"/>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b="1" i="0" u="none" strike="noStrike" baseline="0">
                <a:effectLst/>
              </a:rPr>
              <a:t>Jedním z problémů je existence bariér ve městě. Co podle vašeho názoru chybí pro snazší pohyb po Velkém Meziříčí? </a:t>
            </a:r>
            <a:endParaRPr lang="en-US" sz="1100"/>
          </a:p>
        </c:rich>
      </c:tx>
      <c:overlay val="0"/>
    </c:title>
    <c:autoTitleDeleted val="0"/>
    <c:plotArea>
      <c:layout>
        <c:manualLayout>
          <c:layoutTarget val="inner"/>
          <c:xMode val="edge"/>
          <c:yMode val="edge"/>
          <c:x val="0.50953004558640691"/>
          <c:y val="7.747953766391244E-2"/>
          <c:w val="0.44742293117597104"/>
          <c:h val="0.84624433545017141"/>
        </c:manualLayout>
      </c:layout>
      <c:barChart>
        <c:barDir val="bar"/>
        <c:grouping val="clustered"/>
        <c:varyColors val="0"/>
        <c:ser>
          <c:idx val="0"/>
          <c:order val="0"/>
          <c:tx>
            <c:strRef>
              <c:f>List1!$B$1</c:f>
              <c:strCache>
                <c:ptCount val="1"/>
                <c:pt idx="0">
                  <c:v>Jedním z problémů je existence bariér ve městě. Co podle vašeho názoru chybí pro snazší pohyb po Velkém Meziříčí?</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List1!$A$2:$A$14</c:f>
              <c:strCache>
                <c:ptCount val="13"/>
                <c:pt idx="0">
                  <c:v>Jiné</c:v>
                </c:pt>
                <c:pt idx="1">
                  <c:v>Nevím</c:v>
                </c:pt>
                <c:pt idx="2">
                  <c:v>Světelné označení zastávek v MHD. </c:v>
                </c:pt>
                <c:pt idx="3">
                  <c:v>Vodicí linie</c:v>
                </c:pt>
                <c:pt idx="4">
                  <c:v>Nic není třeba měnit, vše je v pořádku. </c:v>
                </c:pt>
                <c:pt idx="5">
                  <c:v>Propojení navigace nevidomých (VPN) se systémy v bankách, na poštách, úřadech, aby tyto budovy snadno našli a orientovali se uvnitř</c:v>
                </c:pt>
                <c:pt idx="6">
                  <c:v>Bezbariérové veřejné WC, vhodné i pro vozíčkáře.</c:v>
                </c:pt>
                <c:pt idx="7">
                  <c:v>Bezbariérové přístupy k poskytovatelům sociálních služeb. </c:v>
                </c:pt>
                <c:pt idx="8">
                  <c:v>Ozvučené křižovatky. </c:v>
                </c:pt>
                <c:pt idx="9">
                  <c:v>Ozvučení MHD - hlášení zastávek</c:v>
                </c:pt>
                <c:pt idx="10">
                  <c:v>Bezbariérové přechody pro chodce. </c:v>
                </c:pt>
                <c:pt idx="11">
                  <c:v>Pravidelné linky nízkopodlažních autobusů.</c:v>
                </c:pt>
                <c:pt idx="12">
                  <c:v>Bezbariérové přístupy všude tam, kde jsou nyní schody a jiné překážky.</c:v>
                </c:pt>
              </c:strCache>
            </c:strRef>
          </c:cat>
          <c:val>
            <c:numRef>
              <c:f>List1!$B$2:$B$14</c:f>
              <c:numCache>
                <c:formatCode>0.0%</c:formatCode>
                <c:ptCount val="13"/>
                <c:pt idx="0">
                  <c:v>2.8000000000000001E-2</c:v>
                </c:pt>
                <c:pt idx="1">
                  <c:v>0.215</c:v>
                </c:pt>
                <c:pt idx="2">
                  <c:v>4.9000000000000002E-2</c:v>
                </c:pt>
                <c:pt idx="3">
                  <c:v>4.9000000000000002E-2</c:v>
                </c:pt>
                <c:pt idx="4">
                  <c:v>6.9000000000000006E-2</c:v>
                </c:pt>
                <c:pt idx="5">
                  <c:v>8.3000000000000004E-2</c:v>
                </c:pt>
                <c:pt idx="6">
                  <c:v>0.09</c:v>
                </c:pt>
                <c:pt idx="7">
                  <c:v>0.111</c:v>
                </c:pt>
                <c:pt idx="8">
                  <c:v>0.125</c:v>
                </c:pt>
                <c:pt idx="9">
                  <c:v>0.14599999999999999</c:v>
                </c:pt>
                <c:pt idx="10">
                  <c:v>0.153</c:v>
                </c:pt>
                <c:pt idx="11">
                  <c:v>0.25</c:v>
                </c:pt>
                <c:pt idx="12">
                  <c:v>0.33300000000000002</c:v>
                </c:pt>
              </c:numCache>
            </c:numRef>
          </c:val>
        </c:ser>
        <c:dLbls>
          <c:showLegendKey val="0"/>
          <c:showVal val="1"/>
          <c:showCatName val="0"/>
          <c:showSerName val="0"/>
          <c:showPercent val="0"/>
          <c:showBubbleSize val="0"/>
        </c:dLbls>
        <c:gapWidth val="85"/>
        <c:axId val="146528896"/>
        <c:axId val="146531840"/>
      </c:barChart>
      <c:catAx>
        <c:axId val="146528896"/>
        <c:scaling>
          <c:orientation val="minMax"/>
        </c:scaling>
        <c:delete val="0"/>
        <c:axPos val="l"/>
        <c:numFmt formatCode="General" sourceLinked="1"/>
        <c:majorTickMark val="out"/>
        <c:minorTickMark val="none"/>
        <c:tickLblPos val="nextTo"/>
        <c:txPr>
          <a:bodyPr/>
          <a:lstStyle/>
          <a:p>
            <a:pPr>
              <a:defRPr sz="900"/>
            </a:pPr>
            <a:endParaRPr lang="cs-CZ"/>
          </a:p>
        </c:txPr>
        <c:crossAx val="146531840"/>
        <c:crosses val="autoZero"/>
        <c:auto val="1"/>
        <c:lblAlgn val="ctr"/>
        <c:lblOffset val="100"/>
        <c:noMultiLvlLbl val="0"/>
      </c:catAx>
      <c:valAx>
        <c:axId val="146531840"/>
        <c:scaling>
          <c:orientation val="minMax"/>
        </c:scaling>
        <c:delete val="0"/>
        <c:axPos val="b"/>
        <c:majorGridlines/>
        <c:numFmt formatCode="0%" sourceLinked="0"/>
        <c:majorTickMark val="out"/>
        <c:minorTickMark val="none"/>
        <c:tickLblPos val="nextTo"/>
        <c:crossAx val="146528896"/>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cs-CZ" sz="1100" b="1" i="0" u="none" strike="noStrike" baseline="0">
                <a:effectLst/>
              </a:rPr>
              <a:t>V případě, že byste pro sebe či pro Vaši blízkou osobu potřeboval(a) zajistit stálou péči a pomoc, jaké formě byste dal(a) přednost? </a:t>
            </a:r>
            <a:endParaRPr lang="en-US" sz="1100"/>
          </a:p>
        </c:rich>
      </c:tx>
      <c:overlay val="0"/>
    </c:title>
    <c:autoTitleDeleted val="0"/>
    <c:plotArea>
      <c:layout>
        <c:manualLayout>
          <c:layoutTarget val="inner"/>
          <c:xMode val="edge"/>
          <c:yMode val="edge"/>
          <c:x val="0.50953004558640691"/>
          <c:y val="0.13293774115264417"/>
          <c:w val="0.44742293117597104"/>
          <c:h val="0.76449883897550497"/>
        </c:manualLayout>
      </c:layout>
      <c:barChart>
        <c:barDir val="bar"/>
        <c:grouping val="clustered"/>
        <c:varyColors val="0"/>
        <c:ser>
          <c:idx val="0"/>
          <c:order val="0"/>
          <c:tx>
            <c:strRef>
              <c:f>List1!$B$1</c:f>
              <c:strCache>
                <c:ptCount val="1"/>
                <c:pt idx="0">
                  <c:v>V případě, že byste pro sebe či pro Vaši blízkou osobu potřeboval(a) zajistit stálou péči a pomoc, jaké formě byste dal(a) přednost? </c:v>
                </c:pt>
              </c:strCache>
            </c:strRef>
          </c:tx>
          <c:spPr>
            <a:solidFill>
              <a:srgbClr val="FE9F50"/>
            </a:solidFill>
            <a:ln>
              <a:solidFill>
                <a:schemeClr val="tx1"/>
              </a:solidFill>
            </a:ln>
          </c:spPr>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dLbls>
          <c:cat>
            <c:strRef>
              <c:f>List1!$A$2:$A$8</c:f>
              <c:strCache>
                <c:ptCount val="7"/>
                <c:pt idx="0">
                  <c:v>Nevím, nedokážu posoudit</c:v>
                </c:pt>
                <c:pt idx="1">
                  <c:v>Žít ve vlastní domácnosti s využitím kombinace sociálních služeb poskytovaných v domácnosti a pobytem ve stacionáři (případně pomoci blízkých). </c:v>
                </c:pt>
                <c:pt idx="2">
                  <c:v>Nějaký typ chráněného bydlení. </c:v>
                </c:pt>
                <c:pt idx="3">
                  <c:v>Žít v domě s pečovatelskou službou. </c:v>
                </c:pt>
                <c:pt idx="4">
                  <c:v>Žít ve vlastní domácnosti s využitím pomoci blízkých (rodiny, přátel, dobrovolníků). </c:v>
                </c:pt>
                <c:pt idx="5">
                  <c:v>Bydlet v některém zařízení zajišťujícím dlouhodobý pobyt.</c:v>
                </c:pt>
                <c:pt idx="6">
                  <c:v>Žít ve vlastní domácnosti s využitím sociálních služeb poskytovaných v domácnosti a případně pomoci blízkých.</c:v>
                </c:pt>
              </c:strCache>
            </c:strRef>
          </c:cat>
          <c:val>
            <c:numRef>
              <c:f>List1!$B$2:$B$8</c:f>
              <c:numCache>
                <c:formatCode>0.0%</c:formatCode>
                <c:ptCount val="7"/>
                <c:pt idx="0">
                  <c:v>6.8000000000000005E-2</c:v>
                </c:pt>
                <c:pt idx="1">
                  <c:v>0.158</c:v>
                </c:pt>
                <c:pt idx="2">
                  <c:v>0.17100000000000001</c:v>
                </c:pt>
                <c:pt idx="3">
                  <c:v>0.17100000000000001</c:v>
                </c:pt>
                <c:pt idx="4">
                  <c:v>0.185</c:v>
                </c:pt>
                <c:pt idx="5">
                  <c:v>0.19900000000000001</c:v>
                </c:pt>
                <c:pt idx="6">
                  <c:v>0.24</c:v>
                </c:pt>
              </c:numCache>
            </c:numRef>
          </c:val>
        </c:ser>
        <c:dLbls>
          <c:showLegendKey val="0"/>
          <c:showVal val="1"/>
          <c:showCatName val="0"/>
          <c:showSerName val="0"/>
          <c:showPercent val="0"/>
          <c:showBubbleSize val="0"/>
        </c:dLbls>
        <c:gapWidth val="85"/>
        <c:axId val="146645760"/>
        <c:axId val="146648448"/>
      </c:barChart>
      <c:catAx>
        <c:axId val="146645760"/>
        <c:scaling>
          <c:orientation val="minMax"/>
        </c:scaling>
        <c:delete val="0"/>
        <c:axPos val="l"/>
        <c:numFmt formatCode="General" sourceLinked="1"/>
        <c:majorTickMark val="out"/>
        <c:minorTickMark val="none"/>
        <c:tickLblPos val="nextTo"/>
        <c:txPr>
          <a:bodyPr/>
          <a:lstStyle/>
          <a:p>
            <a:pPr>
              <a:defRPr sz="900"/>
            </a:pPr>
            <a:endParaRPr lang="cs-CZ"/>
          </a:p>
        </c:txPr>
        <c:crossAx val="146648448"/>
        <c:crosses val="autoZero"/>
        <c:auto val="1"/>
        <c:lblAlgn val="ctr"/>
        <c:lblOffset val="100"/>
        <c:noMultiLvlLbl val="0"/>
      </c:catAx>
      <c:valAx>
        <c:axId val="146648448"/>
        <c:scaling>
          <c:orientation val="minMax"/>
        </c:scaling>
        <c:delete val="0"/>
        <c:axPos val="b"/>
        <c:majorGridlines/>
        <c:numFmt formatCode="0%" sourceLinked="0"/>
        <c:majorTickMark val="out"/>
        <c:minorTickMark val="none"/>
        <c:tickLblPos val="nextTo"/>
        <c:crossAx val="146645760"/>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cs-CZ" sz="1600"/>
              <a:t>Zemřelí ve věku </a:t>
            </a:r>
            <a:r>
              <a:rPr lang="en-US" sz="1600"/>
              <a:t>65 +</a:t>
            </a:r>
          </a:p>
        </c:rich>
      </c:tx>
      <c:overlay val="0"/>
    </c:title>
    <c:autoTitleDeleted val="0"/>
    <c:plotArea>
      <c:layout/>
      <c:barChart>
        <c:barDir val="col"/>
        <c:grouping val="clustered"/>
        <c:varyColors val="0"/>
        <c:ser>
          <c:idx val="0"/>
          <c:order val="0"/>
          <c:tx>
            <c:strRef>
              <c:f>Zemřelí!$B$15</c:f>
              <c:strCache>
                <c:ptCount val="1"/>
                <c:pt idx="0">
                  <c:v>65 +</c:v>
                </c:pt>
              </c:strCache>
            </c:strRef>
          </c:tx>
          <c:spPr>
            <a:solidFill>
              <a:srgbClr val="C00000"/>
            </a:solidFill>
            <a:ln>
              <a:solidFill>
                <a:srgbClr val="C00000"/>
              </a:solidFill>
            </a:ln>
          </c:spPr>
          <c:invertIfNegative val="0"/>
          <c:dLbls>
            <c:spPr>
              <a:solidFill>
                <a:schemeClr val="bg1"/>
              </a:solidFill>
              <a:ln>
                <a:solidFill>
                  <a:schemeClr val="tx1">
                    <a:lumMod val="95000"/>
                    <a:lumOff val="5000"/>
                  </a:schemeClr>
                </a:solidFill>
              </a:ln>
            </c:spPr>
            <c:dLblPos val="outEnd"/>
            <c:showLegendKey val="0"/>
            <c:showVal val="1"/>
            <c:showCatName val="0"/>
            <c:showSerName val="0"/>
            <c:showPercent val="0"/>
            <c:showBubbleSize val="0"/>
            <c:showLeaderLines val="0"/>
          </c:dLbls>
          <c:cat>
            <c:numRef>
              <c:f>Zemřelí!$C$14:$L$14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Zemřelí!$C$15:$L$15</c:f>
              <c:numCache>
                <c:formatCode>#,##0_ ;\-#,##0\ </c:formatCode>
                <c:ptCount val="10"/>
                <c:pt idx="0">
                  <c:v>104</c:v>
                </c:pt>
                <c:pt idx="1">
                  <c:v>92</c:v>
                </c:pt>
                <c:pt idx="2">
                  <c:v>80</c:v>
                </c:pt>
                <c:pt idx="3">
                  <c:v>111</c:v>
                </c:pt>
                <c:pt idx="4">
                  <c:v>76</c:v>
                </c:pt>
                <c:pt idx="5">
                  <c:v>101</c:v>
                </c:pt>
                <c:pt idx="6">
                  <c:v>100</c:v>
                </c:pt>
                <c:pt idx="7">
                  <c:v>89</c:v>
                </c:pt>
                <c:pt idx="8">
                  <c:v>68</c:v>
                </c:pt>
                <c:pt idx="9">
                  <c:v>70</c:v>
                </c:pt>
              </c:numCache>
            </c:numRef>
          </c:val>
        </c:ser>
        <c:dLbls>
          <c:dLblPos val="outEnd"/>
          <c:showLegendKey val="0"/>
          <c:showVal val="1"/>
          <c:showCatName val="0"/>
          <c:showSerName val="0"/>
          <c:showPercent val="0"/>
          <c:showBubbleSize val="0"/>
        </c:dLbls>
        <c:gapWidth val="150"/>
        <c:axId val="39882112"/>
        <c:axId val="40719872"/>
      </c:barChart>
      <c:catAx>
        <c:axId val="39882112"/>
        <c:scaling>
          <c:orientation val="minMax"/>
        </c:scaling>
        <c:delete val="0"/>
        <c:axPos val="b"/>
        <c:numFmt formatCode="General" sourceLinked="1"/>
        <c:majorTickMark val="out"/>
        <c:minorTickMark val="none"/>
        <c:tickLblPos val="nextTo"/>
        <c:txPr>
          <a:bodyPr/>
          <a:lstStyle/>
          <a:p>
            <a:pPr>
              <a:defRPr sz="1050"/>
            </a:pPr>
            <a:endParaRPr lang="cs-CZ"/>
          </a:p>
        </c:txPr>
        <c:crossAx val="40719872"/>
        <c:crosses val="autoZero"/>
        <c:auto val="1"/>
        <c:lblAlgn val="ctr"/>
        <c:lblOffset val="100"/>
        <c:noMultiLvlLbl val="0"/>
      </c:catAx>
      <c:valAx>
        <c:axId val="40719872"/>
        <c:scaling>
          <c:orientation val="minMax"/>
        </c:scaling>
        <c:delete val="0"/>
        <c:axPos val="l"/>
        <c:majorGridlines/>
        <c:numFmt formatCode="#,##0_ ;\-#,##0\ " sourceLinked="1"/>
        <c:majorTickMark val="out"/>
        <c:minorTickMark val="none"/>
        <c:tickLblPos val="nextTo"/>
        <c:txPr>
          <a:bodyPr/>
          <a:lstStyle/>
          <a:p>
            <a:pPr>
              <a:defRPr sz="1050"/>
            </a:pPr>
            <a:endParaRPr lang="cs-CZ"/>
          </a:p>
        </c:txPr>
        <c:crossAx val="398821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cs-CZ" sz="1600"/>
              <a:t>Zemřelí na 1 000 obyvatel</a:t>
            </a:r>
            <a:endParaRPr lang="en-US" sz="1600"/>
          </a:p>
        </c:rich>
      </c:tx>
      <c:overlay val="0"/>
    </c:title>
    <c:autoTitleDeleted val="0"/>
    <c:plotArea>
      <c:layout/>
      <c:barChart>
        <c:barDir val="col"/>
        <c:grouping val="clustered"/>
        <c:varyColors val="0"/>
        <c:ser>
          <c:idx val="0"/>
          <c:order val="0"/>
          <c:tx>
            <c:strRef>
              <c:f>Zemřelí!$A$37:$B$37</c:f>
              <c:strCache>
                <c:ptCount val="1"/>
                <c:pt idx="0">
                  <c:v>Zemřelí na 1 000 obyvatel</c:v>
                </c:pt>
              </c:strCache>
            </c:strRef>
          </c:tx>
          <c:spPr>
            <a:solidFill>
              <a:srgbClr val="0070C0"/>
            </a:solidFill>
            <a:ln>
              <a:solidFill>
                <a:srgbClr val="00B0F0"/>
              </a:solidFill>
            </a:ln>
          </c:spPr>
          <c:invertIfNegative val="0"/>
          <c:dLbls>
            <c:spPr>
              <a:solidFill>
                <a:schemeClr val="bg1"/>
              </a:solidFill>
              <a:ln>
                <a:solidFill>
                  <a:schemeClr val="tx1">
                    <a:lumMod val="95000"/>
                    <a:lumOff val="5000"/>
                  </a:schemeClr>
                </a:solidFill>
              </a:ln>
            </c:spPr>
            <c:dLblPos val="outEnd"/>
            <c:showLegendKey val="0"/>
            <c:showVal val="1"/>
            <c:showCatName val="0"/>
            <c:showSerName val="0"/>
            <c:showPercent val="0"/>
            <c:showBubbleSize val="0"/>
            <c:showLeaderLines val="0"/>
          </c:dLbls>
          <c:cat>
            <c:numRef>
              <c:f>Zemřelí!$C$36:$L$36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Zemřelí!$C$37:$L$37</c:f>
              <c:numCache>
                <c:formatCode>#,##0.0_ ;\-#,##0.0\ </c:formatCode>
                <c:ptCount val="10"/>
                <c:pt idx="0">
                  <c:v>11.042215238257029</c:v>
                </c:pt>
                <c:pt idx="1">
                  <c:v>9.9515182444501136</c:v>
                </c:pt>
                <c:pt idx="2">
                  <c:v>9.8055934515688943</c:v>
                </c:pt>
                <c:pt idx="3">
                  <c:v>10.341612274307026</c:v>
                </c:pt>
                <c:pt idx="4">
                  <c:v>8.1577158395649221</c:v>
                </c:pt>
                <c:pt idx="5">
                  <c:v>10.884238947013161</c:v>
                </c:pt>
                <c:pt idx="6">
                  <c:v>10.559216083797939</c:v>
                </c:pt>
                <c:pt idx="7">
                  <c:v>8.9686098654708513</c:v>
                </c:pt>
                <c:pt idx="8">
                  <c:v>7.6498087547811302</c:v>
                </c:pt>
                <c:pt idx="9">
                  <c:v>7.3135470703291094</c:v>
                </c:pt>
              </c:numCache>
            </c:numRef>
          </c:val>
        </c:ser>
        <c:dLbls>
          <c:dLblPos val="outEnd"/>
          <c:showLegendKey val="0"/>
          <c:showVal val="1"/>
          <c:showCatName val="0"/>
          <c:showSerName val="0"/>
          <c:showPercent val="0"/>
          <c:showBubbleSize val="0"/>
        </c:dLbls>
        <c:gapWidth val="150"/>
        <c:axId val="40728064"/>
        <c:axId val="40779136"/>
      </c:barChart>
      <c:catAx>
        <c:axId val="40728064"/>
        <c:scaling>
          <c:orientation val="minMax"/>
        </c:scaling>
        <c:delete val="0"/>
        <c:axPos val="b"/>
        <c:numFmt formatCode="General" sourceLinked="1"/>
        <c:majorTickMark val="out"/>
        <c:minorTickMark val="none"/>
        <c:tickLblPos val="nextTo"/>
        <c:txPr>
          <a:bodyPr/>
          <a:lstStyle/>
          <a:p>
            <a:pPr>
              <a:defRPr sz="1050"/>
            </a:pPr>
            <a:endParaRPr lang="cs-CZ"/>
          </a:p>
        </c:txPr>
        <c:crossAx val="40779136"/>
        <c:crosses val="autoZero"/>
        <c:auto val="1"/>
        <c:lblAlgn val="ctr"/>
        <c:lblOffset val="100"/>
        <c:noMultiLvlLbl val="0"/>
      </c:catAx>
      <c:valAx>
        <c:axId val="40779136"/>
        <c:scaling>
          <c:orientation val="minMax"/>
        </c:scaling>
        <c:delete val="0"/>
        <c:axPos val="l"/>
        <c:majorGridlines/>
        <c:numFmt formatCode="#,##0.0_ ;\-#,##0.0\ " sourceLinked="1"/>
        <c:majorTickMark val="out"/>
        <c:minorTickMark val="none"/>
        <c:tickLblPos val="nextTo"/>
        <c:txPr>
          <a:bodyPr/>
          <a:lstStyle/>
          <a:p>
            <a:pPr>
              <a:defRPr sz="1050"/>
            </a:pPr>
            <a:endParaRPr lang="cs-CZ"/>
          </a:p>
        </c:txPr>
        <c:crossAx val="407280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cs-CZ" sz="1600"/>
              <a:t>Zemřelí na nemoci oběhové soustavy</a:t>
            </a:r>
            <a:endParaRPr lang="en-US" sz="1600"/>
          </a:p>
        </c:rich>
      </c:tx>
      <c:overlay val="0"/>
    </c:title>
    <c:autoTitleDeleted val="0"/>
    <c:plotArea>
      <c:layout>
        <c:manualLayout>
          <c:layoutTarget val="inner"/>
          <c:xMode val="edge"/>
          <c:yMode val="edge"/>
          <c:x val="7.286278540684113E-2"/>
          <c:y val="0.20516985108044289"/>
          <c:w val="0.90503221759798269"/>
          <c:h val="0.61631926967468365"/>
        </c:manualLayout>
      </c:layout>
      <c:barChart>
        <c:barDir val="col"/>
        <c:grouping val="clustered"/>
        <c:varyColors val="0"/>
        <c:ser>
          <c:idx val="0"/>
          <c:order val="0"/>
          <c:tx>
            <c:strRef>
              <c:f>Zemřelí!$A$62:$B$62</c:f>
              <c:strCache>
                <c:ptCount val="1"/>
                <c:pt idx="0">
                  <c:v>nemoci oběhové soustavy (I00 - I99)</c:v>
                </c:pt>
              </c:strCache>
            </c:strRef>
          </c:tx>
          <c:spPr>
            <a:solidFill>
              <a:srgbClr val="00B050"/>
            </a:solidFill>
            <a:ln>
              <a:solidFill>
                <a:srgbClr val="00B050"/>
              </a:solidFill>
            </a:ln>
          </c:spPr>
          <c:invertIfNegative val="0"/>
          <c:dLbls>
            <c:spPr>
              <a:solidFill>
                <a:schemeClr val="bg1"/>
              </a:solidFill>
              <a:ln>
                <a:solidFill>
                  <a:schemeClr val="tx1">
                    <a:lumMod val="95000"/>
                    <a:lumOff val="5000"/>
                  </a:schemeClr>
                </a:solidFill>
              </a:ln>
            </c:spPr>
            <c:dLblPos val="outEnd"/>
            <c:showLegendKey val="0"/>
            <c:showVal val="1"/>
            <c:showCatName val="0"/>
            <c:showSerName val="0"/>
            <c:showPercent val="0"/>
            <c:showBubbleSize val="0"/>
            <c:showLeaderLines val="0"/>
          </c:dLbls>
          <c:cat>
            <c:numRef>
              <c:f>Zemřelí!$C$61:$L$61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Zemřelí!$C$62:$L$62</c:f>
              <c:numCache>
                <c:formatCode>#,##0_ ;\-#,##0\ </c:formatCode>
                <c:ptCount val="10"/>
                <c:pt idx="0">
                  <c:v>78</c:v>
                </c:pt>
                <c:pt idx="1">
                  <c:v>65</c:v>
                </c:pt>
                <c:pt idx="2">
                  <c:v>65</c:v>
                </c:pt>
                <c:pt idx="3">
                  <c:v>81</c:v>
                </c:pt>
                <c:pt idx="4">
                  <c:v>55</c:v>
                </c:pt>
                <c:pt idx="5">
                  <c:v>65</c:v>
                </c:pt>
                <c:pt idx="6">
                  <c:v>69</c:v>
                </c:pt>
                <c:pt idx="7">
                  <c:v>63</c:v>
                </c:pt>
                <c:pt idx="8">
                  <c:v>41</c:v>
                </c:pt>
                <c:pt idx="9">
                  <c:v>39</c:v>
                </c:pt>
              </c:numCache>
            </c:numRef>
          </c:val>
        </c:ser>
        <c:dLbls>
          <c:dLblPos val="outEnd"/>
          <c:showLegendKey val="0"/>
          <c:showVal val="1"/>
          <c:showCatName val="0"/>
          <c:showSerName val="0"/>
          <c:showPercent val="0"/>
          <c:showBubbleSize val="0"/>
        </c:dLbls>
        <c:gapWidth val="150"/>
        <c:axId val="40791040"/>
        <c:axId val="42984576"/>
      </c:barChart>
      <c:catAx>
        <c:axId val="40791040"/>
        <c:scaling>
          <c:orientation val="minMax"/>
        </c:scaling>
        <c:delete val="0"/>
        <c:axPos val="b"/>
        <c:numFmt formatCode="General" sourceLinked="1"/>
        <c:majorTickMark val="out"/>
        <c:minorTickMark val="none"/>
        <c:tickLblPos val="nextTo"/>
        <c:txPr>
          <a:bodyPr/>
          <a:lstStyle/>
          <a:p>
            <a:pPr>
              <a:defRPr sz="1050"/>
            </a:pPr>
            <a:endParaRPr lang="cs-CZ"/>
          </a:p>
        </c:txPr>
        <c:crossAx val="42984576"/>
        <c:crosses val="autoZero"/>
        <c:auto val="1"/>
        <c:lblAlgn val="ctr"/>
        <c:lblOffset val="100"/>
        <c:noMultiLvlLbl val="0"/>
      </c:catAx>
      <c:valAx>
        <c:axId val="42984576"/>
        <c:scaling>
          <c:orientation val="minMax"/>
        </c:scaling>
        <c:delete val="0"/>
        <c:axPos val="l"/>
        <c:majorGridlines/>
        <c:numFmt formatCode="#,##0_ ;\-#,##0\ " sourceLinked="1"/>
        <c:majorTickMark val="out"/>
        <c:minorTickMark val="none"/>
        <c:tickLblPos val="nextTo"/>
        <c:txPr>
          <a:bodyPr/>
          <a:lstStyle/>
          <a:p>
            <a:pPr>
              <a:defRPr sz="1050"/>
            </a:pPr>
            <a:endParaRPr lang="cs-CZ"/>
          </a:p>
        </c:txPr>
        <c:crossAx val="407910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Přistěhovalí!$A$2:$B$2</c:f>
              <c:strCache>
                <c:ptCount val="1"/>
                <c:pt idx="0">
                  <c:v>Přistěhovalí</c:v>
                </c:pt>
              </c:strCache>
            </c:strRef>
          </c:tx>
          <c:invertIfNegative val="0"/>
          <c:dLbls>
            <c:spPr>
              <a:solidFill>
                <a:schemeClr val="bg1"/>
              </a:solidFill>
              <a:ln>
                <a:solidFill>
                  <a:schemeClr val="tx1">
                    <a:lumMod val="95000"/>
                    <a:lumOff val="5000"/>
                  </a:schemeClr>
                </a:solidFill>
              </a:ln>
            </c:spPr>
            <c:dLblPos val="outEnd"/>
            <c:showLegendKey val="0"/>
            <c:showVal val="1"/>
            <c:showCatName val="0"/>
            <c:showSerName val="0"/>
            <c:showPercent val="0"/>
            <c:showBubbleSize val="0"/>
            <c:showLeaderLines val="0"/>
          </c:dLbls>
          <c:cat>
            <c:numRef>
              <c:f>Přistěhovalí!$C$1:$L$1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Přistěhovalí!$C$2:$L$2</c:f>
              <c:numCache>
                <c:formatCode>#,##0_ ;\-#,##0\ </c:formatCode>
                <c:ptCount val="10"/>
                <c:pt idx="0">
                  <c:v>165</c:v>
                </c:pt>
                <c:pt idx="1">
                  <c:v>151</c:v>
                </c:pt>
                <c:pt idx="2">
                  <c:v>192</c:v>
                </c:pt>
                <c:pt idx="3">
                  <c:v>178</c:v>
                </c:pt>
                <c:pt idx="4">
                  <c:v>175</c:v>
                </c:pt>
                <c:pt idx="5">
                  <c:v>249</c:v>
                </c:pt>
                <c:pt idx="6">
                  <c:v>165</c:v>
                </c:pt>
                <c:pt idx="7">
                  <c:v>194</c:v>
                </c:pt>
                <c:pt idx="8">
                  <c:v>153</c:v>
                </c:pt>
                <c:pt idx="9">
                  <c:v>128</c:v>
                </c:pt>
              </c:numCache>
            </c:numRef>
          </c:val>
        </c:ser>
        <c:dLbls>
          <c:dLblPos val="outEnd"/>
          <c:showLegendKey val="0"/>
          <c:showVal val="1"/>
          <c:showCatName val="0"/>
          <c:showSerName val="0"/>
          <c:showPercent val="0"/>
          <c:showBubbleSize val="0"/>
        </c:dLbls>
        <c:gapWidth val="150"/>
        <c:axId val="42988288"/>
        <c:axId val="43068032"/>
      </c:barChart>
      <c:catAx>
        <c:axId val="42988288"/>
        <c:scaling>
          <c:orientation val="minMax"/>
        </c:scaling>
        <c:delete val="0"/>
        <c:axPos val="b"/>
        <c:numFmt formatCode="General" sourceLinked="1"/>
        <c:majorTickMark val="out"/>
        <c:minorTickMark val="none"/>
        <c:tickLblPos val="nextTo"/>
        <c:crossAx val="43068032"/>
        <c:crosses val="autoZero"/>
        <c:auto val="1"/>
        <c:lblAlgn val="ctr"/>
        <c:lblOffset val="100"/>
        <c:noMultiLvlLbl val="0"/>
      </c:catAx>
      <c:valAx>
        <c:axId val="43068032"/>
        <c:scaling>
          <c:orientation val="minMax"/>
        </c:scaling>
        <c:delete val="0"/>
        <c:axPos val="l"/>
        <c:majorGridlines/>
        <c:numFmt formatCode="#,##0_ ;\-#,##0\ " sourceLinked="1"/>
        <c:majorTickMark val="out"/>
        <c:minorTickMark val="none"/>
        <c:tickLblPos val="nextTo"/>
        <c:crossAx val="4298828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Přistěhovalí!$O$2:$P$2</c:f>
              <c:strCache>
                <c:ptCount val="1"/>
                <c:pt idx="0">
                  <c:v>Přistěhovalí na 1 000 obyvatel</c:v>
                </c:pt>
              </c:strCache>
            </c:strRef>
          </c:tx>
          <c:invertIfNegative val="0"/>
          <c:dLbls>
            <c:spPr>
              <a:solidFill>
                <a:schemeClr val="bg1"/>
              </a:solidFill>
              <a:ln>
                <a:solidFill>
                  <a:schemeClr val="tx1">
                    <a:lumMod val="95000"/>
                    <a:lumOff val="5000"/>
                  </a:schemeClr>
                </a:solidFill>
              </a:ln>
            </c:spPr>
            <c:dLblPos val="outEnd"/>
            <c:showLegendKey val="0"/>
            <c:showVal val="1"/>
            <c:showCatName val="0"/>
            <c:showSerName val="0"/>
            <c:showPercent val="0"/>
            <c:showBubbleSize val="0"/>
            <c:showLeaderLines val="0"/>
          </c:dLbls>
          <c:cat>
            <c:numRef>
              <c:f>Přistěhovalí!$Q$1:$Z$1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Přistěhovalí!$Q$2:$Z$2</c:f>
              <c:numCache>
                <c:formatCode>#,##0.0_ ;\-#,##0.0\ </c:formatCode>
                <c:ptCount val="10"/>
                <c:pt idx="0">
                  <c:v>14.01511934086469</c:v>
                </c:pt>
                <c:pt idx="1">
                  <c:v>12.843412435145019</c:v>
                </c:pt>
                <c:pt idx="2">
                  <c:v>16.371077762619372</c:v>
                </c:pt>
                <c:pt idx="3">
                  <c:v>15.088581842841402</c:v>
                </c:pt>
                <c:pt idx="4">
                  <c:v>14.870836165873554</c:v>
                </c:pt>
                <c:pt idx="5">
                  <c:v>21.009112386095172</c:v>
                </c:pt>
                <c:pt idx="6">
                  <c:v>13.938165230613279</c:v>
                </c:pt>
                <c:pt idx="7">
                  <c:v>16.414248244352315</c:v>
                </c:pt>
                <c:pt idx="8">
                  <c:v>13.004674883127922</c:v>
                </c:pt>
                <c:pt idx="9">
                  <c:v>10.885279360489838</c:v>
                </c:pt>
              </c:numCache>
            </c:numRef>
          </c:val>
        </c:ser>
        <c:dLbls>
          <c:dLblPos val="outEnd"/>
          <c:showLegendKey val="0"/>
          <c:showVal val="1"/>
          <c:showCatName val="0"/>
          <c:showSerName val="0"/>
          <c:showPercent val="0"/>
          <c:showBubbleSize val="0"/>
        </c:dLbls>
        <c:gapWidth val="150"/>
        <c:axId val="43071744"/>
        <c:axId val="43090304"/>
      </c:barChart>
      <c:catAx>
        <c:axId val="43071744"/>
        <c:scaling>
          <c:orientation val="minMax"/>
        </c:scaling>
        <c:delete val="0"/>
        <c:axPos val="b"/>
        <c:numFmt formatCode="General" sourceLinked="1"/>
        <c:majorTickMark val="out"/>
        <c:minorTickMark val="none"/>
        <c:tickLblPos val="nextTo"/>
        <c:crossAx val="43090304"/>
        <c:crosses val="autoZero"/>
        <c:auto val="1"/>
        <c:lblAlgn val="ctr"/>
        <c:lblOffset val="100"/>
        <c:noMultiLvlLbl val="0"/>
      </c:catAx>
      <c:valAx>
        <c:axId val="43090304"/>
        <c:scaling>
          <c:orientation val="minMax"/>
        </c:scaling>
        <c:delete val="0"/>
        <c:axPos val="l"/>
        <c:majorGridlines/>
        <c:numFmt formatCode="#,##0.0_ ;\-#,##0.0\ " sourceLinked="1"/>
        <c:majorTickMark val="out"/>
        <c:minorTickMark val="none"/>
        <c:tickLblPos val="nextTo"/>
        <c:crossAx val="4307174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Přistěhovalí!$A$28:$B$28</c:f>
              <c:strCache>
                <c:ptCount val="1"/>
                <c:pt idx="0">
                  <c:v>Vystěhovalí</c:v>
                </c:pt>
              </c:strCache>
            </c:strRef>
          </c:tx>
          <c:spPr>
            <a:solidFill>
              <a:schemeClr val="accent6">
                <a:lumMod val="75000"/>
              </a:schemeClr>
            </a:solidFill>
          </c:spPr>
          <c:invertIfNegative val="0"/>
          <c:dLbls>
            <c:spPr>
              <a:solidFill>
                <a:schemeClr val="bg1"/>
              </a:solidFill>
              <a:ln>
                <a:solidFill>
                  <a:schemeClr val="tx1">
                    <a:lumMod val="95000"/>
                    <a:lumOff val="5000"/>
                  </a:schemeClr>
                </a:solidFill>
              </a:ln>
            </c:spPr>
            <c:dLblPos val="outEnd"/>
            <c:showLegendKey val="0"/>
            <c:showVal val="1"/>
            <c:showCatName val="0"/>
            <c:showSerName val="0"/>
            <c:showPercent val="0"/>
            <c:showBubbleSize val="0"/>
            <c:showLeaderLines val="0"/>
          </c:dLbls>
          <c:cat>
            <c:numRef>
              <c:f>Přistěhovalí!$C$27:$L$27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Přistěhovalí!$C$28:$L$28</c:f>
              <c:numCache>
                <c:formatCode>#,##0_ ;\-#,##0\ </c:formatCode>
                <c:ptCount val="10"/>
                <c:pt idx="0">
                  <c:v>183</c:v>
                </c:pt>
                <c:pt idx="1">
                  <c:v>174</c:v>
                </c:pt>
                <c:pt idx="2">
                  <c:v>160</c:v>
                </c:pt>
                <c:pt idx="3">
                  <c:v>176</c:v>
                </c:pt>
                <c:pt idx="4">
                  <c:v>191</c:v>
                </c:pt>
                <c:pt idx="5">
                  <c:v>218</c:v>
                </c:pt>
                <c:pt idx="6">
                  <c:v>187</c:v>
                </c:pt>
                <c:pt idx="7">
                  <c:v>200</c:v>
                </c:pt>
                <c:pt idx="8">
                  <c:v>219</c:v>
                </c:pt>
                <c:pt idx="9">
                  <c:v>179</c:v>
                </c:pt>
              </c:numCache>
            </c:numRef>
          </c:val>
        </c:ser>
        <c:dLbls>
          <c:dLblPos val="outEnd"/>
          <c:showLegendKey val="0"/>
          <c:showVal val="1"/>
          <c:showCatName val="0"/>
          <c:showSerName val="0"/>
          <c:showPercent val="0"/>
          <c:showBubbleSize val="0"/>
        </c:dLbls>
        <c:gapWidth val="150"/>
        <c:axId val="40727680"/>
        <c:axId val="43103744"/>
      </c:barChart>
      <c:catAx>
        <c:axId val="40727680"/>
        <c:scaling>
          <c:orientation val="minMax"/>
        </c:scaling>
        <c:delete val="0"/>
        <c:axPos val="b"/>
        <c:numFmt formatCode="General" sourceLinked="1"/>
        <c:majorTickMark val="out"/>
        <c:minorTickMark val="none"/>
        <c:tickLblPos val="nextTo"/>
        <c:crossAx val="43103744"/>
        <c:crosses val="autoZero"/>
        <c:auto val="1"/>
        <c:lblAlgn val="ctr"/>
        <c:lblOffset val="100"/>
        <c:noMultiLvlLbl val="0"/>
      </c:catAx>
      <c:valAx>
        <c:axId val="43103744"/>
        <c:scaling>
          <c:orientation val="minMax"/>
        </c:scaling>
        <c:delete val="0"/>
        <c:axPos val="l"/>
        <c:majorGridlines/>
        <c:numFmt formatCode="#,##0_ ;\-#,##0\ " sourceLinked="1"/>
        <c:majorTickMark val="out"/>
        <c:minorTickMark val="none"/>
        <c:tickLblPos val="nextTo"/>
        <c:crossAx val="40727680"/>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0.272</cdr:x>
      <cdr:y>0.2489</cdr:y>
    </cdr:from>
    <cdr:to>
      <cdr:x>0.78001</cdr:x>
      <cdr:y>0.5427</cdr:y>
    </cdr:to>
    <cdr:cxnSp macro="">
      <cdr:nvCxnSpPr>
        <cdr:cNvPr id="2" name="Přímá spojnice se šipkou 1"/>
        <cdr:cNvCxnSpPr/>
      </cdr:nvCxnSpPr>
      <cdr:spPr>
        <a:xfrm xmlns:a="http://schemas.openxmlformats.org/drawingml/2006/main">
          <a:off x="1541518" y="528676"/>
          <a:ext cx="2879084" cy="624054"/>
        </a:xfrm>
        <a:prstGeom xmlns:a="http://schemas.openxmlformats.org/drawingml/2006/main" prst="straightConnector1">
          <a:avLst/>
        </a:prstGeom>
        <a:ln xmlns:a="http://schemas.openxmlformats.org/drawingml/2006/main" w="38100">
          <a:solidFill>
            <a:srgbClr val="00B05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0.21504</cdr:x>
      <cdr:y>0.19089</cdr:y>
    </cdr:from>
    <cdr:to>
      <cdr:x>0.79803</cdr:x>
      <cdr:y>0.33961</cdr:y>
    </cdr:to>
    <cdr:cxnSp macro="">
      <cdr:nvCxnSpPr>
        <cdr:cNvPr id="3" name="Přímá spojnice se šipkou 2"/>
        <cdr:cNvCxnSpPr/>
      </cdr:nvCxnSpPr>
      <cdr:spPr>
        <a:xfrm xmlns:a="http://schemas.openxmlformats.org/drawingml/2006/main" flipV="1">
          <a:off x="1239218" y="436382"/>
          <a:ext cx="3359553" cy="339974"/>
        </a:xfrm>
        <a:prstGeom xmlns:a="http://schemas.openxmlformats.org/drawingml/2006/main" prst="straightConnector1">
          <a:avLst/>
        </a:prstGeom>
        <a:ln xmlns:a="http://schemas.openxmlformats.org/drawingml/2006/main" w="3810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0.05361</cdr:x>
      <cdr:y>0.41672</cdr:y>
    </cdr:from>
    <cdr:to>
      <cdr:x>0.98158</cdr:x>
      <cdr:y>0.42069</cdr:y>
    </cdr:to>
    <cdr:cxnSp macro="">
      <cdr:nvCxnSpPr>
        <cdr:cNvPr id="3" name="Přímá spojnice 2"/>
        <cdr:cNvCxnSpPr/>
      </cdr:nvCxnSpPr>
      <cdr:spPr>
        <a:xfrm xmlns:a="http://schemas.openxmlformats.org/drawingml/2006/main" flipV="1">
          <a:off x="308356" y="1116419"/>
          <a:ext cx="5337533" cy="10637"/>
        </a:xfrm>
        <a:prstGeom xmlns:a="http://schemas.openxmlformats.org/drawingml/2006/main" prst="line">
          <a:avLst/>
        </a:prstGeom>
        <a:ln xmlns:a="http://schemas.openxmlformats.org/drawingml/2006/main" w="2540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F0AF1-56E8-4C1E-9AFA-4A886FBE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16177</Words>
  <Characters>95449</Characters>
  <Application>Microsoft Office Word</Application>
  <DocSecurity>4</DocSecurity>
  <Lines>795</Lines>
  <Paragraphs>222</Paragraphs>
  <ScaleCrop>false</ScaleCrop>
  <HeadingPairs>
    <vt:vector size="2" baseType="variant">
      <vt:variant>
        <vt:lpstr>Název</vt:lpstr>
      </vt:variant>
      <vt:variant>
        <vt:i4>1</vt:i4>
      </vt:variant>
    </vt:vector>
  </HeadingPairs>
  <TitlesOfParts>
    <vt:vector size="1" baseType="lpstr">
      <vt:lpstr/>
    </vt:vector>
  </TitlesOfParts>
  <Company>PC</Company>
  <LinksUpToDate>false</LinksUpToDate>
  <CharactersWithSpaces>111404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G580</dc:creator>
  <cp:lastModifiedBy>Klapalová Jaroslava Ing.</cp:lastModifiedBy>
  <cp:revision>2</cp:revision>
  <cp:lastPrinted>2013-09-17T08:44:00Z</cp:lastPrinted>
  <dcterms:created xsi:type="dcterms:W3CDTF">2014-09-17T12:04:00Z</dcterms:created>
  <dcterms:modified xsi:type="dcterms:W3CDTF">2014-09-17T12:04:00Z</dcterms:modified>
</cp:coreProperties>
</file>